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1D8EB" w14:textId="77777777" w:rsidR="003A416F" w:rsidRPr="003A416F" w:rsidRDefault="003A416F" w:rsidP="003A416F">
      <w:pPr>
        <w:shd w:val="clear" w:color="auto" w:fill="FFFFFF"/>
        <w:spacing w:before="480" w:after="240" w:line="510" w:lineRule="atLeast"/>
        <w:outlineLvl w:val="0"/>
        <w:rPr>
          <w:rFonts w:ascii="Segoe UI" w:eastAsia="Times New Roman" w:hAnsi="Segoe UI" w:cs="Segoe UI"/>
          <w:b/>
          <w:bCs/>
          <w:color w:val="0F1115"/>
          <w:kern w:val="36"/>
          <w:sz w:val="36"/>
          <w:szCs w:val="36"/>
          <w:lang w:eastAsia="fr-FR"/>
          <w14:ligatures w14:val="none"/>
        </w:rPr>
      </w:pPr>
      <w:r w:rsidRPr="003A416F">
        <w:rPr>
          <w:rFonts w:ascii="Segoe UI" w:eastAsia="Times New Roman" w:hAnsi="Segoe UI" w:cs="Segoe UI"/>
          <w:b/>
          <w:bCs/>
          <w:color w:val="0F1115"/>
          <w:kern w:val="36"/>
          <w:sz w:val="36"/>
          <w:szCs w:val="36"/>
          <w:lang w:eastAsia="fr-FR"/>
          <w14:ligatures w14:val="none"/>
        </w:rPr>
        <w:t>RAPPORT FRANCE ÉQUILIBRE 2032</w:t>
      </w:r>
    </w:p>
    <w:p w14:paraId="089B9461"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Évaluation Comparative de Trois Scénarios de Consolidation Budgétaire</w:t>
      </w:r>
    </w:p>
    <w:p w14:paraId="5397FB05"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Auteur :</w:t>
      </w:r>
      <w:r w:rsidRPr="003A416F">
        <w:rPr>
          <w:rFonts w:ascii="Segoe UI" w:eastAsia="Times New Roman" w:hAnsi="Segoe UI" w:cs="Segoe UI"/>
          <w:color w:val="0F1115"/>
          <w:kern w:val="0"/>
          <w:lang w:eastAsia="fr-FR"/>
          <w14:ligatures w14:val="none"/>
        </w:rPr>
        <w:t> Économiste indépendant, mandaté par le benchmark IA</w:t>
      </w:r>
      <w:r w:rsidRPr="003A416F">
        <w:rPr>
          <w:rFonts w:ascii="Segoe UI" w:eastAsia="Times New Roman" w:hAnsi="Segoe UI" w:cs="Segoe UI"/>
          <w:color w:val="0F1115"/>
          <w:kern w:val="0"/>
          <w:lang w:eastAsia="fr-FR"/>
          <w14:ligatures w14:val="none"/>
        </w:rPr>
        <w:br/>
      </w:r>
      <w:r w:rsidRPr="003A416F">
        <w:rPr>
          <w:rFonts w:ascii="Segoe UI" w:eastAsia="Times New Roman" w:hAnsi="Segoe UI" w:cs="Segoe UI"/>
          <w:b/>
          <w:bCs/>
          <w:color w:val="0F1115"/>
          <w:kern w:val="0"/>
          <w:lang w:eastAsia="fr-FR"/>
          <w14:ligatures w14:val="none"/>
        </w:rPr>
        <w:t>Date :</w:t>
      </w:r>
      <w:r w:rsidRPr="003A416F">
        <w:rPr>
          <w:rFonts w:ascii="Segoe UI" w:eastAsia="Times New Roman" w:hAnsi="Segoe UI" w:cs="Segoe UI"/>
          <w:color w:val="0F1115"/>
          <w:kern w:val="0"/>
          <w:lang w:eastAsia="fr-FR"/>
          <w14:ligatures w14:val="none"/>
        </w:rPr>
        <w:t> Août 2026</w:t>
      </w:r>
      <w:r w:rsidRPr="003A416F">
        <w:rPr>
          <w:rFonts w:ascii="Segoe UI" w:eastAsia="Times New Roman" w:hAnsi="Segoe UI" w:cs="Segoe UI"/>
          <w:color w:val="0F1115"/>
          <w:kern w:val="0"/>
          <w:lang w:eastAsia="fr-FR"/>
          <w14:ligatures w14:val="none"/>
        </w:rPr>
        <w:br/>
      </w:r>
      <w:r w:rsidRPr="003A416F">
        <w:rPr>
          <w:rFonts w:ascii="Segoe UI" w:eastAsia="Times New Roman" w:hAnsi="Segoe UI" w:cs="Segoe UI"/>
          <w:b/>
          <w:bCs/>
          <w:color w:val="0F1115"/>
          <w:kern w:val="0"/>
          <w:lang w:eastAsia="fr-FR"/>
          <w14:ligatures w14:val="none"/>
        </w:rPr>
        <w:t>Version :</w:t>
      </w:r>
      <w:r w:rsidRPr="003A416F">
        <w:rPr>
          <w:rFonts w:ascii="Segoe UI" w:eastAsia="Times New Roman" w:hAnsi="Segoe UI" w:cs="Segoe UI"/>
          <w:color w:val="0F1115"/>
          <w:kern w:val="0"/>
          <w:lang w:eastAsia="fr-FR"/>
          <w14:ligatures w14:val="none"/>
        </w:rPr>
        <w:t> Finale (Synthèse Exécutive et Programme Complet)</w:t>
      </w:r>
    </w:p>
    <w:p w14:paraId="0885C7FC"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18A8F0F3">
          <v:rect id="_x0000_i1044" alt="" style="width:453.6pt;height:.05pt;mso-width-percent:0;mso-height-percent:0;mso-width-percent:0;mso-height-percent:0" o:hralign="center" o:hrstd="t" o:hr="t" fillcolor="#a0a0a0" stroked="f"/>
        </w:pict>
      </w:r>
    </w:p>
    <w:p w14:paraId="0F55C7DF"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t>SOMMAIRE</w:t>
      </w:r>
    </w:p>
    <w:p w14:paraId="68E167C3"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SYNTHÈSE EXÉCUTIVE</w:t>
      </w:r>
    </w:p>
    <w:p w14:paraId="2A56950F"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DIAGNOSTIC DE LA SITUATION FRANÇAISE</w:t>
      </w:r>
    </w:p>
    <w:p w14:paraId="56A12588" w14:textId="77777777" w:rsidR="003A416F" w:rsidRPr="003A416F" w:rsidRDefault="003A416F" w:rsidP="003A416F">
      <w:pPr>
        <w:numPr>
          <w:ilvl w:val="0"/>
          <w:numId w:val="1"/>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LES TROIS SCÉNARIOS COMPARÉS</w:t>
      </w:r>
    </w:p>
    <w:p w14:paraId="7F29BE60" w14:textId="77777777" w:rsidR="003A416F" w:rsidRPr="003A416F" w:rsidRDefault="003A416F" w:rsidP="003A416F">
      <w:pPr>
        <w:numPr>
          <w:ilvl w:val="1"/>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Scénario 1 : Équilibre (0% du PIB en 2032)</w:t>
      </w:r>
    </w:p>
    <w:p w14:paraId="7F795F42" w14:textId="77777777" w:rsidR="003A416F" w:rsidRPr="003A416F" w:rsidRDefault="003A416F" w:rsidP="003A416F">
      <w:pPr>
        <w:numPr>
          <w:ilvl w:val="1"/>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Scénario 2 : Super-Excédent (+10% du PIB en 2032)</w:t>
      </w:r>
    </w:p>
    <w:p w14:paraId="6E4866E0" w14:textId="77777777" w:rsidR="003A416F" w:rsidRPr="003A416F" w:rsidRDefault="003A416F" w:rsidP="003A416F">
      <w:pPr>
        <w:numPr>
          <w:ilvl w:val="1"/>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Scénario 3 : Désendettement (Dette à 100% du PIB en 2032)</w:t>
      </w:r>
    </w:p>
    <w:p w14:paraId="6A9FA1F9"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LES 10 RÉFORMES STRUCTURELLES COMMUNES</w:t>
      </w:r>
    </w:p>
    <w:p w14:paraId="0915BE61"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PLAN D'ACTION SÉQUENCÉ PAR SCÉNARIO</w:t>
      </w:r>
    </w:p>
    <w:p w14:paraId="22353873"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BUDGET STRATÉGIQUE R&amp;D / INNOVATION</w:t>
      </w:r>
    </w:p>
    <w:p w14:paraId="6EC369DE"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TESTS DE RÉSISTANCE</w:t>
      </w:r>
    </w:p>
    <w:p w14:paraId="59C15E89"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TABLEAU COMPARATIF FINAL</w:t>
      </w:r>
    </w:p>
    <w:p w14:paraId="6A549565"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AUDIT COMPTABLE ET RECONCILIATION</w:t>
      </w:r>
    </w:p>
    <w:p w14:paraId="49F4258C" w14:textId="77777777" w:rsidR="003A416F" w:rsidRPr="003A416F" w:rsidRDefault="003A416F" w:rsidP="003A416F">
      <w:pPr>
        <w:numPr>
          <w:ilvl w:val="0"/>
          <w:numId w:val="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CONCLUSION ET RECOMMANDATION</w:t>
      </w:r>
    </w:p>
    <w:p w14:paraId="36514E3E"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3948CD9F">
          <v:rect id="_x0000_i1043" alt="" style="width:453.6pt;height:.05pt;mso-width-percent:0;mso-height-percent:0;mso-width-percent:0;mso-height-percent:0" o:hralign="center" o:hrstd="t" o:hr="t" fillcolor="#a0a0a0" stroked="f"/>
        </w:pict>
      </w:r>
    </w:p>
    <w:p w14:paraId="683366F4"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1. SYNTHÈSE EXÉCUTIVE</w:t>
      </w:r>
    </w:p>
    <w:p w14:paraId="170194F5"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Contexte :</w:t>
      </w:r>
      <w:r w:rsidRPr="003A416F">
        <w:rPr>
          <w:rFonts w:ascii="Segoe UI" w:eastAsia="Times New Roman" w:hAnsi="Segoe UI" w:cs="Segoe UI"/>
          <w:color w:val="0F1115"/>
          <w:kern w:val="0"/>
          <w:lang w:eastAsia="fr-FR"/>
          <w14:ligatures w14:val="none"/>
        </w:rPr>
        <w:t> En 2026, la France fait face à une situation budgétaire critique. Avec un déficit public de </w:t>
      </w:r>
      <w:r w:rsidRPr="003A416F">
        <w:rPr>
          <w:rFonts w:ascii="Segoe UI" w:eastAsia="Times New Roman" w:hAnsi="Segoe UI" w:cs="Segoe UI"/>
          <w:b/>
          <w:bCs/>
          <w:color w:val="0F1115"/>
          <w:kern w:val="0"/>
          <w:lang w:eastAsia="fr-FR"/>
          <w14:ligatures w14:val="none"/>
        </w:rPr>
        <w:t>5,1 % du PIB</w:t>
      </w:r>
      <w:r w:rsidRPr="003A416F">
        <w:rPr>
          <w:rFonts w:ascii="Segoe UI" w:eastAsia="Times New Roman" w:hAnsi="Segoe UI" w:cs="Segoe UI"/>
          <w:color w:val="0F1115"/>
          <w:kern w:val="0"/>
          <w:lang w:eastAsia="fr-FR"/>
          <w14:ligatures w14:val="none"/>
        </w:rPr>
        <w:t> au premier trimestre et une dette atteignant </w:t>
      </w:r>
      <w:r w:rsidRPr="003A416F">
        <w:rPr>
          <w:rFonts w:ascii="Segoe UI" w:eastAsia="Times New Roman" w:hAnsi="Segoe UI" w:cs="Segoe UI"/>
          <w:b/>
          <w:bCs/>
          <w:color w:val="0F1115"/>
          <w:kern w:val="0"/>
          <w:lang w:eastAsia="fr-FR"/>
          <w14:ligatures w14:val="none"/>
        </w:rPr>
        <w:t>117,6 % du PIB</w:t>
      </w:r>
      <w:r w:rsidRPr="003A416F">
        <w:rPr>
          <w:rFonts w:ascii="Segoe UI" w:eastAsia="Times New Roman" w:hAnsi="Segoe UI" w:cs="Segoe UI"/>
          <w:color w:val="0F1115"/>
          <w:kern w:val="0"/>
          <w:lang w:eastAsia="fr-FR"/>
          <w14:ligatures w14:val="none"/>
        </w:rPr>
        <w:t>, l’effet boule de neige de la charge de la dette (77 Mds€ en 2026, 100 Mds€ attendus en 2029) menace la souveraineté financière du pays. L’OCDE, la Cour des comptes et le FMI s’accordent sur la nécessité d’un ajustement structurel d’ampleur.</w:t>
      </w:r>
    </w:p>
    <w:p w14:paraId="32BC273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lastRenderedPageBreak/>
        <w:t>Objectif du rapport :</w:t>
      </w:r>
      <w:r w:rsidRPr="003A416F">
        <w:rPr>
          <w:rFonts w:ascii="Segoe UI" w:eastAsia="Times New Roman" w:hAnsi="Segoe UI" w:cs="Segoe UI"/>
          <w:color w:val="0F1115"/>
          <w:kern w:val="0"/>
          <w:lang w:eastAsia="fr-FR"/>
          <w14:ligatures w14:val="none"/>
        </w:rPr>
        <w:t> Concevoir, chiffrer et comparer trois trajectoires budgétaires alternatives à l’horizon 2032, intégrant des réformes structurelles pour préserver le potentiel de croissance, l’innovation et la cohésion sociale.</w:t>
      </w:r>
    </w:p>
    <w:p w14:paraId="773922E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Principaux résultats :</w:t>
      </w:r>
    </w:p>
    <w:p w14:paraId="65FCBB0D" w14:textId="77777777" w:rsidR="003A416F" w:rsidRPr="003A416F" w:rsidRDefault="003A416F" w:rsidP="003A416F">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1 (Équilibre)</w:t>
      </w:r>
      <w:r w:rsidRPr="003A416F">
        <w:rPr>
          <w:rFonts w:ascii="Segoe UI" w:eastAsia="Times New Roman" w:hAnsi="Segoe UI" w:cs="Segoe UI"/>
          <w:color w:val="0F1115"/>
          <w:kern w:val="0"/>
          <w:lang w:eastAsia="fr-FR"/>
          <w14:ligatures w14:val="none"/>
        </w:rPr>
        <w:t> : Atteignable. Recommandé. Combinaison équilibrée de réductions de dépenses (2/3) et de recettes nouvelles (1/3). Permet de stabiliser la dette vers 108 % du PIB.</w:t>
      </w:r>
    </w:p>
    <w:p w14:paraId="2BA0D856" w14:textId="77777777" w:rsidR="003A416F" w:rsidRPr="003A416F" w:rsidRDefault="003A416F" w:rsidP="003A416F">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2 (Super-Excédent)</w:t>
      </w:r>
      <w:r w:rsidRPr="003A416F">
        <w:rPr>
          <w:rFonts w:ascii="Segoe UI" w:eastAsia="Times New Roman" w:hAnsi="Segoe UI" w:cs="Segoe UI"/>
          <w:color w:val="0F1115"/>
          <w:kern w:val="0"/>
          <w:lang w:eastAsia="fr-FR"/>
          <w14:ligatures w14:val="none"/>
        </w:rPr>
        <w:t> : Irréaliste. Nécessiterait un ajustement de 15 points de PIB, détruirait la croissance et le modèle social. À rejeter.</w:t>
      </w:r>
    </w:p>
    <w:p w14:paraId="54982353" w14:textId="77777777" w:rsidR="003A416F" w:rsidRPr="003A416F" w:rsidRDefault="003A416F" w:rsidP="003A416F">
      <w:pPr>
        <w:numPr>
          <w:ilvl w:val="0"/>
          <w:numId w:val="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3 (Désendettement)</w:t>
      </w:r>
      <w:r w:rsidRPr="003A416F">
        <w:rPr>
          <w:rFonts w:ascii="Segoe UI" w:eastAsia="Times New Roman" w:hAnsi="Segoe UI" w:cs="Segoe UI"/>
          <w:color w:val="0F1115"/>
          <w:kern w:val="0"/>
          <w:lang w:eastAsia="fr-FR"/>
          <w14:ligatures w14:val="none"/>
        </w:rPr>
        <w:t> : Atteignable mais risqué. Réduit la dette à 100 % du PIB en 2032, mais exige un effort budgétaire continu de 10 à 12 points de PIB, avec un risque de freiner l’investissement public.</w:t>
      </w:r>
    </w:p>
    <w:p w14:paraId="6B8FF6F3"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Recommandation finale :</w:t>
      </w:r>
      <w:r w:rsidRPr="003A416F">
        <w:rPr>
          <w:rFonts w:ascii="Segoe UI" w:eastAsia="Times New Roman" w:hAnsi="Segoe UI" w:cs="Segoe UI"/>
          <w:color w:val="0F1115"/>
          <w:kern w:val="0"/>
          <w:lang w:eastAsia="fr-FR"/>
          <w14:ligatures w14:val="none"/>
        </w:rPr>
        <w:t> Adopter une </w:t>
      </w:r>
      <w:r w:rsidRPr="003A416F">
        <w:rPr>
          <w:rFonts w:ascii="Segoe UI" w:eastAsia="Times New Roman" w:hAnsi="Segoe UI" w:cs="Segoe UI"/>
          <w:b/>
          <w:bCs/>
          <w:color w:val="0F1115"/>
          <w:kern w:val="0"/>
          <w:lang w:eastAsia="fr-FR"/>
          <w14:ligatures w14:val="none"/>
        </w:rPr>
        <w:t>stratégie de désendettement progressif</w:t>
      </w:r>
      <w:r w:rsidRPr="003A416F">
        <w:rPr>
          <w:rFonts w:ascii="Segoe UI" w:eastAsia="Times New Roman" w:hAnsi="Segoe UI" w:cs="Segoe UI"/>
          <w:color w:val="0F1115"/>
          <w:kern w:val="0"/>
          <w:lang w:eastAsia="fr-FR"/>
          <w14:ligatures w14:val="none"/>
        </w:rPr>
        <w:t> centrée sur le Scénario 1, en intégrant des garde-fous pour profiter d’une conjoncture favorable sans sacrifier les dépenses d’avenir.</w:t>
      </w:r>
    </w:p>
    <w:p w14:paraId="0D01B347"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7FB719B3">
          <v:rect id="_x0000_i1042" alt="" style="width:453.6pt;height:.05pt;mso-width-percent:0;mso-height-percent:0;mso-width-percent:0;mso-height-percent:0" o:hralign="center" o:hrstd="t" o:hr="t" fillcolor="#a0a0a0" stroked="f"/>
        </w:pict>
      </w:r>
    </w:p>
    <w:p w14:paraId="15476CF5"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2. DIAGNOSTIC DE LA SITUATION FRANÇAISE</w:t>
      </w:r>
    </w:p>
    <w:p w14:paraId="702BB563"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t>2.1. Données Macroéconomiques et Budgétaires 2025-2026</w:t>
      </w:r>
    </w:p>
    <w:tbl>
      <w:tblPr>
        <w:tblW w:w="0" w:type="auto"/>
        <w:tblCellMar>
          <w:top w:w="15" w:type="dxa"/>
          <w:left w:w="15" w:type="dxa"/>
          <w:bottom w:w="15" w:type="dxa"/>
          <w:right w:w="15" w:type="dxa"/>
        </w:tblCellMar>
        <w:tblLook w:val="04A0" w:firstRow="1" w:lastRow="0" w:firstColumn="1" w:lastColumn="0" w:noHBand="0" w:noVBand="1"/>
      </w:tblPr>
      <w:tblGrid>
        <w:gridCol w:w="2472"/>
        <w:gridCol w:w="2361"/>
        <w:gridCol w:w="2288"/>
        <w:gridCol w:w="1951"/>
      </w:tblGrid>
      <w:tr w:rsidR="003A416F" w:rsidRPr="003A416F" w14:paraId="716BBB75" w14:textId="77777777">
        <w:trPr>
          <w:tblHeader/>
        </w:trPr>
        <w:tc>
          <w:tcPr>
            <w:tcW w:w="0" w:type="auto"/>
            <w:tcBorders>
              <w:top w:val="nil"/>
            </w:tcBorders>
            <w:tcMar>
              <w:top w:w="150" w:type="dxa"/>
              <w:left w:w="0" w:type="dxa"/>
              <w:bottom w:w="150" w:type="dxa"/>
              <w:right w:w="240" w:type="dxa"/>
            </w:tcMar>
            <w:vAlign w:val="center"/>
            <w:hideMark/>
          </w:tcPr>
          <w:p w14:paraId="57DA949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Indicateur</w:t>
            </w:r>
          </w:p>
        </w:tc>
        <w:tc>
          <w:tcPr>
            <w:tcW w:w="0" w:type="auto"/>
            <w:tcBorders>
              <w:top w:val="nil"/>
            </w:tcBorders>
            <w:tcMar>
              <w:top w:w="150" w:type="dxa"/>
              <w:left w:w="240" w:type="dxa"/>
              <w:bottom w:w="150" w:type="dxa"/>
              <w:right w:w="240" w:type="dxa"/>
            </w:tcMar>
            <w:vAlign w:val="center"/>
            <w:hideMark/>
          </w:tcPr>
          <w:p w14:paraId="778462C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2025 (Observé)</w:t>
            </w:r>
          </w:p>
        </w:tc>
        <w:tc>
          <w:tcPr>
            <w:tcW w:w="0" w:type="auto"/>
            <w:tcBorders>
              <w:top w:val="nil"/>
            </w:tcBorders>
            <w:tcMar>
              <w:top w:w="150" w:type="dxa"/>
              <w:left w:w="240" w:type="dxa"/>
              <w:bottom w:w="150" w:type="dxa"/>
              <w:right w:w="240" w:type="dxa"/>
            </w:tcMar>
            <w:vAlign w:val="center"/>
            <w:hideMark/>
          </w:tcPr>
          <w:p w14:paraId="2CCDCC3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2026 (Estimé)</w:t>
            </w:r>
          </w:p>
        </w:tc>
        <w:tc>
          <w:tcPr>
            <w:tcW w:w="0" w:type="auto"/>
            <w:tcBorders>
              <w:top w:val="nil"/>
            </w:tcBorders>
            <w:tcMar>
              <w:top w:w="150" w:type="dxa"/>
              <w:left w:w="240" w:type="dxa"/>
              <w:bottom w:w="150" w:type="dxa"/>
              <w:right w:w="240" w:type="dxa"/>
            </w:tcMar>
            <w:vAlign w:val="center"/>
            <w:hideMark/>
          </w:tcPr>
          <w:p w14:paraId="6E208A6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Source</w:t>
            </w:r>
          </w:p>
        </w:tc>
      </w:tr>
      <w:tr w:rsidR="003A416F" w:rsidRPr="003A416F" w14:paraId="282CBA96" w14:textId="77777777">
        <w:tc>
          <w:tcPr>
            <w:tcW w:w="0" w:type="auto"/>
            <w:tcMar>
              <w:top w:w="150" w:type="dxa"/>
              <w:left w:w="0" w:type="dxa"/>
              <w:bottom w:w="150" w:type="dxa"/>
              <w:right w:w="240" w:type="dxa"/>
            </w:tcMar>
            <w:vAlign w:val="center"/>
            <w:hideMark/>
          </w:tcPr>
          <w:p w14:paraId="4D03705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PIB nominal</w:t>
            </w:r>
          </w:p>
        </w:tc>
        <w:tc>
          <w:tcPr>
            <w:tcW w:w="0" w:type="auto"/>
            <w:tcMar>
              <w:top w:w="150" w:type="dxa"/>
              <w:left w:w="240" w:type="dxa"/>
              <w:bottom w:w="150" w:type="dxa"/>
              <w:right w:w="240" w:type="dxa"/>
            </w:tcMar>
            <w:vAlign w:val="center"/>
            <w:hideMark/>
          </w:tcPr>
          <w:p w14:paraId="17FA792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3 000 Mds€</w:t>
            </w:r>
          </w:p>
        </w:tc>
        <w:tc>
          <w:tcPr>
            <w:tcW w:w="0" w:type="auto"/>
            <w:tcMar>
              <w:top w:w="150" w:type="dxa"/>
              <w:left w:w="240" w:type="dxa"/>
              <w:bottom w:w="150" w:type="dxa"/>
              <w:right w:w="240" w:type="dxa"/>
            </w:tcMar>
            <w:vAlign w:val="center"/>
            <w:hideMark/>
          </w:tcPr>
          <w:p w14:paraId="7F07819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3 100 Mds€</w:t>
            </w:r>
          </w:p>
        </w:tc>
        <w:tc>
          <w:tcPr>
            <w:tcW w:w="0" w:type="auto"/>
            <w:tcMar>
              <w:top w:w="150" w:type="dxa"/>
              <w:left w:w="240" w:type="dxa"/>
              <w:bottom w:w="150" w:type="dxa"/>
              <w:right w:w="0" w:type="dxa"/>
            </w:tcMar>
            <w:vAlign w:val="center"/>
            <w:hideMark/>
          </w:tcPr>
          <w:p w14:paraId="5E02B02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INSEE</w:t>
            </w:r>
          </w:p>
        </w:tc>
      </w:tr>
      <w:tr w:rsidR="003A416F" w:rsidRPr="003A416F" w14:paraId="3809222B" w14:textId="77777777">
        <w:tc>
          <w:tcPr>
            <w:tcW w:w="0" w:type="auto"/>
            <w:tcMar>
              <w:top w:w="150" w:type="dxa"/>
              <w:left w:w="0" w:type="dxa"/>
              <w:bottom w:w="150" w:type="dxa"/>
              <w:right w:w="240" w:type="dxa"/>
            </w:tcMar>
            <w:vAlign w:val="center"/>
            <w:hideMark/>
          </w:tcPr>
          <w:p w14:paraId="56FECDF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Croissance réelle</w:t>
            </w:r>
          </w:p>
        </w:tc>
        <w:tc>
          <w:tcPr>
            <w:tcW w:w="0" w:type="auto"/>
            <w:tcMar>
              <w:top w:w="150" w:type="dxa"/>
              <w:left w:w="240" w:type="dxa"/>
              <w:bottom w:w="150" w:type="dxa"/>
              <w:right w:w="240" w:type="dxa"/>
            </w:tcMar>
            <w:vAlign w:val="center"/>
            <w:hideMark/>
          </w:tcPr>
          <w:p w14:paraId="0830E69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1,1 %</w:t>
            </w:r>
          </w:p>
        </w:tc>
        <w:tc>
          <w:tcPr>
            <w:tcW w:w="0" w:type="auto"/>
            <w:tcMar>
              <w:top w:w="150" w:type="dxa"/>
              <w:left w:w="240" w:type="dxa"/>
              <w:bottom w:w="150" w:type="dxa"/>
              <w:right w:w="240" w:type="dxa"/>
            </w:tcMar>
            <w:vAlign w:val="center"/>
            <w:hideMark/>
          </w:tcPr>
          <w:p w14:paraId="570AB82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0,7 %</w:t>
            </w:r>
          </w:p>
        </w:tc>
        <w:tc>
          <w:tcPr>
            <w:tcW w:w="0" w:type="auto"/>
            <w:tcMar>
              <w:top w:w="150" w:type="dxa"/>
              <w:left w:w="240" w:type="dxa"/>
              <w:bottom w:w="150" w:type="dxa"/>
              <w:right w:w="0" w:type="dxa"/>
            </w:tcMar>
            <w:vAlign w:val="center"/>
            <w:hideMark/>
          </w:tcPr>
          <w:p w14:paraId="5147515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OCDE / INSEE</w:t>
            </w:r>
          </w:p>
        </w:tc>
      </w:tr>
      <w:tr w:rsidR="003A416F" w:rsidRPr="003A416F" w14:paraId="0DB3ADAD" w14:textId="77777777">
        <w:tc>
          <w:tcPr>
            <w:tcW w:w="0" w:type="auto"/>
            <w:tcMar>
              <w:top w:w="150" w:type="dxa"/>
              <w:left w:w="0" w:type="dxa"/>
              <w:bottom w:w="150" w:type="dxa"/>
              <w:right w:w="240" w:type="dxa"/>
            </w:tcMar>
            <w:vAlign w:val="center"/>
            <w:hideMark/>
          </w:tcPr>
          <w:p w14:paraId="5170AD1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Recettes publiques</w:t>
            </w:r>
          </w:p>
        </w:tc>
        <w:tc>
          <w:tcPr>
            <w:tcW w:w="0" w:type="auto"/>
            <w:tcMar>
              <w:top w:w="150" w:type="dxa"/>
              <w:left w:w="240" w:type="dxa"/>
              <w:bottom w:w="150" w:type="dxa"/>
              <w:right w:w="240" w:type="dxa"/>
            </w:tcMar>
            <w:vAlign w:val="center"/>
            <w:hideMark/>
          </w:tcPr>
          <w:p w14:paraId="6AADA45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1 458 Mds€ (48,6 % PIB)</w:t>
            </w:r>
          </w:p>
        </w:tc>
        <w:tc>
          <w:tcPr>
            <w:tcW w:w="0" w:type="auto"/>
            <w:tcMar>
              <w:top w:w="150" w:type="dxa"/>
              <w:left w:w="240" w:type="dxa"/>
              <w:bottom w:w="150" w:type="dxa"/>
              <w:right w:w="240" w:type="dxa"/>
            </w:tcMar>
            <w:vAlign w:val="center"/>
            <w:hideMark/>
          </w:tcPr>
          <w:p w14:paraId="2286C55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1 500 Mds€ (48,4 % PIB)</w:t>
            </w:r>
          </w:p>
        </w:tc>
        <w:tc>
          <w:tcPr>
            <w:tcW w:w="0" w:type="auto"/>
            <w:tcMar>
              <w:top w:w="150" w:type="dxa"/>
              <w:left w:w="240" w:type="dxa"/>
              <w:bottom w:w="150" w:type="dxa"/>
              <w:right w:w="0" w:type="dxa"/>
            </w:tcMar>
            <w:vAlign w:val="center"/>
            <w:hideMark/>
          </w:tcPr>
          <w:p w14:paraId="274E9B9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PLF 2026</w:t>
            </w:r>
          </w:p>
        </w:tc>
      </w:tr>
      <w:tr w:rsidR="003A416F" w:rsidRPr="003A416F" w14:paraId="1882A7CA" w14:textId="77777777">
        <w:tc>
          <w:tcPr>
            <w:tcW w:w="0" w:type="auto"/>
            <w:tcMar>
              <w:top w:w="150" w:type="dxa"/>
              <w:left w:w="0" w:type="dxa"/>
              <w:bottom w:w="150" w:type="dxa"/>
              <w:right w:w="240" w:type="dxa"/>
            </w:tcMar>
            <w:vAlign w:val="center"/>
            <w:hideMark/>
          </w:tcPr>
          <w:p w14:paraId="411A73B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Prélèvements obligatoires</w:t>
            </w:r>
          </w:p>
        </w:tc>
        <w:tc>
          <w:tcPr>
            <w:tcW w:w="0" w:type="auto"/>
            <w:tcMar>
              <w:top w:w="150" w:type="dxa"/>
              <w:left w:w="240" w:type="dxa"/>
              <w:bottom w:w="150" w:type="dxa"/>
              <w:right w:w="240" w:type="dxa"/>
            </w:tcMar>
            <w:vAlign w:val="center"/>
            <w:hideMark/>
          </w:tcPr>
          <w:p w14:paraId="2ED5A08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46 % du PIB</w:t>
            </w:r>
          </w:p>
        </w:tc>
        <w:tc>
          <w:tcPr>
            <w:tcW w:w="0" w:type="auto"/>
            <w:tcMar>
              <w:top w:w="150" w:type="dxa"/>
              <w:left w:w="240" w:type="dxa"/>
              <w:bottom w:w="150" w:type="dxa"/>
              <w:right w:w="240" w:type="dxa"/>
            </w:tcMar>
            <w:vAlign w:val="center"/>
            <w:hideMark/>
          </w:tcPr>
          <w:p w14:paraId="547C103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46,2 % du PIB</w:t>
            </w:r>
          </w:p>
        </w:tc>
        <w:tc>
          <w:tcPr>
            <w:tcW w:w="0" w:type="auto"/>
            <w:tcMar>
              <w:top w:w="150" w:type="dxa"/>
              <w:left w:w="240" w:type="dxa"/>
              <w:bottom w:w="150" w:type="dxa"/>
              <w:right w:w="0" w:type="dxa"/>
            </w:tcMar>
            <w:vAlign w:val="center"/>
            <w:hideMark/>
          </w:tcPr>
          <w:p w14:paraId="3687F30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Eurostat</w:t>
            </w:r>
          </w:p>
        </w:tc>
      </w:tr>
      <w:tr w:rsidR="003A416F" w:rsidRPr="003A416F" w14:paraId="5E80F28C" w14:textId="77777777">
        <w:tc>
          <w:tcPr>
            <w:tcW w:w="0" w:type="auto"/>
            <w:tcMar>
              <w:top w:w="150" w:type="dxa"/>
              <w:left w:w="0" w:type="dxa"/>
              <w:bottom w:w="150" w:type="dxa"/>
              <w:right w:w="240" w:type="dxa"/>
            </w:tcMar>
            <w:vAlign w:val="center"/>
            <w:hideMark/>
          </w:tcPr>
          <w:p w14:paraId="676BA0D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Dépenses publiques</w:t>
            </w:r>
          </w:p>
        </w:tc>
        <w:tc>
          <w:tcPr>
            <w:tcW w:w="0" w:type="auto"/>
            <w:tcMar>
              <w:top w:w="150" w:type="dxa"/>
              <w:left w:w="240" w:type="dxa"/>
              <w:bottom w:w="150" w:type="dxa"/>
              <w:right w:w="240" w:type="dxa"/>
            </w:tcMar>
            <w:vAlign w:val="center"/>
            <w:hideMark/>
          </w:tcPr>
          <w:p w14:paraId="270705C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1 650 Mds€ (55 % PIB)</w:t>
            </w:r>
          </w:p>
        </w:tc>
        <w:tc>
          <w:tcPr>
            <w:tcW w:w="0" w:type="auto"/>
            <w:tcMar>
              <w:top w:w="150" w:type="dxa"/>
              <w:left w:w="240" w:type="dxa"/>
              <w:bottom w:w="150" w:type="dxa"/>
              <w:right w:w="240" w:type="dxa"/>
            </w:tcMar>
            <w:vAlign w:val="center"/>
            <w:hideMark/>
          </w:tcPr>
          <w:p w14:paraId="537514F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1 700 Mds€ (54,8 % PIB)</w:t>
            </w:r>
          </w:p>
        </w:tc>
        <w:tc>
          <w:tcPr>
            <w:tcW w:w="0" w:type="auto"/>
            <w:tcMar>
              <w:top w:w="150" w:type="dxa"/>
              <w:left w:w="240" w:type="dxa"/>
              <w:bottom w:w="150" w:type="dxa"/>
              <w:right w:w="0" w:type="dxa"/>
            </w:tcMar>
            <w:vAlign w:val="center"/>
            <w:hideMark/>
          </w:tcPr>
          <w:p w14:paraId="4DB2C6C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Cour des comptes</w:t>
            </w:r>
          </w:p>
        </w:tc>
      </w:tr>
      <w:tr w:rsidR="003A416F" w:rsidRPr="003A416F" w14:paraId="68140427" w14:textId="77777777">
        <w:tc>
          <w:tcPr>
            <w:tcW w:w="0" w:type="auto"/>
            <w:tcMar>
              <w:top w:w="150" w:type="dxa"/>
              <w:left w:w="0" w:type="dxa"/>
              <w:bottom w:w="150" w:type="dxa"/>
              <w:right w:w="240" w:type="dxa"/>
            </w:tcMar>
            <w:vAlign w:val="center"/>
            <w:hideMark/>
          </w:tcPr>
          <w:p w14:paraId="13E5C36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lastRenderedPageBreak/>
              <w:t>Déficit public</w:t>
            </w:r>
          </w:p>
        </w:tc>
        <w:tc>
          <w:tcPr>
            <w:tcW w:w="0" w:type="auto"/>
            <w:tcMar>
              <w:top w:w="150" w:type="dxa"/>
              <w:left w:w="240" w:type="dxa"/>
              <w:bottom w:w="150" w:type="dxa"/>
              <w:right w:w="240" w:type="dxa"/>
            </w:tcMar>
            <w:vAlign w:val="center"/>
            <w:hideMark/>
          </w:tcPr>
          <w:p w14:paraId="7086C28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-5,1 % PIB</w:t>
            </w:r>
          </w:p>
        </w:tc>
        <w:tc>
          <w:tcPr>
            <w:tcW w:w="0" w:type="auto"/>
            <w:tcMar>
              <w:top w:w="150" w:type="dxa"/>
              <w:left w:w="240" w:type="dxa"/>
              <w:bottom w:w="150" w:type="dxa"/>
              <w:right w:w="240" w:type="dxa"/>
            </w:tcMar>
            <w:vAlign w:val="center"/>
            <w:hideMark/>
          </w:tcPr>
          <w:p w14:paraId="7CE27D8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-5,0 % PIB</w:t>
            </w:r>
          </w:p>
        </w:tc>
        <w:tc>
          <w:tcPr>
            <w:tcW w:w="0" w:type="auto"/>
            <w:tcMar>
              <w:top w:w="150" w:type="dxa"/>
              <w:left w:w="240" w:type="dxa"/>
              <w:bottom w:w="150" w:type="dxa"/>
              <w:right w:w="0" w:type="dxa"/>
            </w:tcMar>
            <w:vAlign w:val="center"/>
            <w:hideMark/>
          </w:tcPr>
          <w:p w14:paraId="17F689E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Eurostat</w:t>
            </w:r>
          </w:p>
        </w:tc>
      </w:tr>
      <w:tr w:rsidR="003A416F" w:rsidRPr="003A416F" w14:paraId="7CF54EEF" w14:textId="77777777">
        <w:tc>
          <w:tcPr>
            <w:tcW w:w="0" w:type="auto"/>
            <w:tcMar>
              <w:top w:w="150" w:type="dxa"/>
              <w:left w:w="0" w:type="dxa"/>
              <w:bottom w:w="150" w:type="dxa"/>
              <w:right w:w="240" w:type="dxa"/>
            </w:tcMar>
            <w:vAlign w:val="center"/>
            <w:hideMark/>
          </w:tcPr>
          <w:p w14:paraId="62F04BB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Dette publique brute</w:t>
            </w:r>
          </w:p>
        </w:tc>
        <w:tc>
          <w:tcPr>
            <w:tcW w:w="0" w:type="auto"/>
            <w:tcMar>
              <w:top w:w="150" w:type="dxa"/>
              <w:left w:w="240" w:type="dxa"/>
              <w:bottom w:w="150" w:type="dxa"/>
              <w:right w:w="240" w:type="dxa"/>
            </w:tcMar>
            <w:vAlign w:val="center"/>
            <w:hideMark/>
          </w:tcPr>
          <w:p w14:paraId="3794CB5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3 468 Mds€ (115,6 % PIB)</w:t>
            </w:r>
          </w:p>
        </w:tc>
        <w:tc>
          <w:tcPr>
            <w:tcW w:w="0" w:type="auto"/>
            <w:tcMar>
              <w:top w:w="150" w:type="dxa"/>
              <w:left w:w="240" w:type="dxa"/>
              <w:bottom w:w="150" w:type="dxa"/>
              <w:right w:w="240" w:type="dxa"/>
            </w:tcMar>
            <w:vAlign w:val="center"/>
            <w:hideMark/>
          </w:tcPr>
          <w:p w14:paraId="6249ED7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3 620 Mds€ (117,6 % PIB)</w:t>
            </w:r>
          </w:p>
        </w:tc>
        <w:tc>
          <w:tcPr>
            <w:tcW w:w="0" w:type="auto"/>
            <w:tcMar>
              <w:top w:w="150" w:type="dxa"/>
              <w:left w:w="240" w:type="dxa"/>
              <w:bottom w:w="150" w:type="dxa"/>
              <w:right w:w="0" w:type="dxa"/>
            </w:tcMar>
            <w:vAlign w:val="center"/>
            <w:hideMark/>
          </w:tcPr>
          <w:p w14:paraId="49271FA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Banque de France</w:t>
            </w:r>
          </w:p>
        </w:tc>
      </w:tr>
      <w:tr w:rsidR="003A416F" w:rsidRPr="003A416F" w14:paraId="21B326FD" w14:textId="77777777">
        <w:tc>
          <w:tcPr>
            <w:tcW w:w="0" w:type="auto"/>
            <w:tcMar>
              <w:top w:w="150" w:type="dxa"/>
              <w:left w:w="0" w:type="dxa"/>
              <w:bottom w:w="150" w:type="dxa"/>
              <w:right w:w="240" w:type="dxa"/>
            </w:tcMar>
            <w:vAlign w:val="center"/>
            <w:hideMark/>
          </w:tcPr>
          <w:p w14:paraId="69E212C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Charge d’intérêts</w:t>
            </w:r>
          </w:p>
        </w:tc>
        <w:tc>
          <w:tcPr>
            <w:tcW w:w="0" w:type="auto"/>
            <w:tcMar>
              <w:top w:w="150" w:type="dxa"/>
              <w:left w:w="240" w:type="dxa"/>
              <w:bottom w:w="150" w:type="dxa"/>
              <w:right w:w="240" w:type="dxa"/>
            </w:tcMar>
            <w:vAlign w:val="center"/>
            <w:hideMark/>
          </w:tcPr>
          <w:p w14:paraId="20F7EC3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65 Mds€</w:t>
            </w:r>
          </w:p>
        </w:tc>
        <w:tc>
          <w:tcPr>
            <w:tcW w:w="0" w:type="auto"/>
            <w:tcMar>
              <w:top w:w="150" w:type="dxa"/>
              <w:left w:w="240" w:type="dxa"/>
              <w:bottom w:w="150" w:type="dxa"/>
              <w:right w:w="240" w:type="dxa"/>
            </w:tcMar>
            <w:vAlign w:val="center"/>
            <w:hideMark/>
          </w:tcPr>
          <w:p w14:paraId="622D8DC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77 Mds€</w:t>
            </w:r>
          </w:p>
        </w:tc>
        <w:tc>
          <w:tcPr>
            <w:tcW w:w="0" w:type="auto"/>
            <w:tcMar>
              <w:top w:w="150" w:type="dxa"/>
              <w:left w:w="240" w:type="dxa"/>
              <w:bottom w:w="150" w:type="dxa"/>
              <w:right w:w="0" w:type="dxa"/>
            </w:tcMar>
            <w:vAlign w:val="center"/>
            <w:hideMark/>
          </w:tcPr>
          <w:p w14:paraId="08A449E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Ministère des Finances</w:t>
            </w:r>
          </w:p>
        </w:tc>
      </w:tr>
      <w:tr w:rsidR="003A416F" w:rsidRPr="003A416F" w14:paraId="70CFC887" w14:textId="77777777">
        <w:tc>
          <w:tcPr>
            <w:tcW w:w="0" w:type="auto"/>
            <w:tcMar>
              <w:top w:w="150" w:type="dxa"/>
              <w:left w:w="0" w:type="dxa"/>
              <w:bottom w:w="150" w:type="dxa"/>
              <w:right w:w="240" w:type="dxa"/>
            </w:tcMar>
            <w:vAlign w:val="center"/>
            <w:hideMark/>
          </w:tcPr>
          <w:p w14:paraId="70EB811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Taux d’emploi (15-64)</w:t>
            </w:r>
          </w:p>
        </w:tc>
        <w:tc>
          <w:tcPr>
            <w:tcW w:w="0" w:type="auto"/>
            <w:tcMar>
              <w:top w:w="150" w:type="dxa"/>
              <w:left w:w="240" w:type="dxa"/>
              <w:bottom w:w="150" w:type="dxa"/>
              <w:right w:w="240" w:type="dxa"/>
            </w:tcMar>
            <w:vAlign w:val="center"/>
            <w:hideMark/>
          </w:tcPr>
          <w:p w14:paraId="15C5212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68,8 %</w:t>
            </w:r>
          </w:p>
        </w:tc>
        <w:tc>
          <w:tcPr>
            <w:tcW w:w="0" w:type="auto"/>
            <w:tcMar>
              <w:top w:w="150" w:type="dxa"/>
              <w:left w:w="240" w:type="dxa"/>
              <w:bottom w:w="150" w:type="dxa"/>
              <w:right w:w="240" w:type="dxa"/>
            </w:tcMar>
            <w:vAlign w:val="center"/>
            <w:hideMark/>
          </w:tcPr>
          <w:p w14:paraId="4694E8E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69,0 %</w:t>
            </w:r>
          </w:p>
        </w:tc>
        <w:tc>
          <w:tcPr>
            <w:tcW w:w="0" w:type="auto"/>
            <w:tcMar>
              <w:top w:w="150" w:type="dxa"/>
              <w:left w:w="240" w:type="dxa"/>
              <w:bottom w:w="150" w:type="dxa"/>
              <w:right w:w="0" w:type="dxa"/>
            </w:tcMar>
            <w:vAlign w:val="center"/>
            <w:hideMark/>
          </w:tcPr>
          <w:p w14:paraId="59B7875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INSEE</w:t>
            </w:r>
          </w:p>
        </w:tc>
      </w:tr>
      <w:tr w:rsidR="003A416F" w:rsidRPr="003A416F" w14:paraId="589997C6" w14:textId="77777777">
        <w:tc>
          <w:tcPr>
            <w:tcW w:w="0" w:type="auto"/>
            <w:tcMar>
              <w:top w:w="150" w:type="dxa"/>
              <w:left w:w="0" w:type="dxa"/>
              <w:bottom w:w="150" w:type="dxa"/>
              <w:right w:w="240" w:type="dxa"/>
            </w:tcMar>
            <w:vAlign w:val="center"/>
            <w:hideMark/>
          </w:tcPr>
          <w:p w14:paraId="6E4CDE8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Chômage</w:t>
            </w:r>
          </w:p>
        </w:tc>
        <w:tc>
          <w:tcPr>
            <w:tcW w:w="0" w:type="auto"/>
            <w:tcMar>
              <w:top w:w="150" w:type="dxa"/>
              <w:left w:w="240" w:type="dxa"/>
              <w:bottom w:w="150" w:type="dxa"/>
              <w:right w:w="240" w:type="dxa"/>
            </w:tcMar>
            <w:vAlign w:val="center"/>
            <w:hideMark/>
          </w:tcPr>
          <w:p w14:paraId="1601A1B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7,5 %</w:t>
            </w:r>
          </w:p>
        </w:tc>
        <w:tc>
          <w:tcPr>
            <w:tcW w:w="0" w:type="auto"/>
            <w:tcMar>
              <w:top w:w="150" w:type="dxa"/>
              <w:left w:w="240" w:type="dxa"/>
              <w:bottom w:w="150" w:type="dxa"/>
              <w:right w:w="240" w:type="dxa"/>
            </w:tcMar>
            <w:vAlign w:val="center"/>
            <w:hideMark/>
          </w:tcPr>
          <w:p w14:paraId="57A56D4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7,6 %</w:t>
            </w:r>
          </w:p>
        </w:tc>
        <w:tc>
          <w:tcPr>
            <w:tcW w:w="0" w:type="auto"/>
            <w:tcMar>
              <w:top w:w="150" w:type="dxa"/>
              <w:left w:w="240" w:type="dxa"/>
              <w:bottom w:w="150" w:type="dxa"/>
              <w:right w:w="0" w:type="dxa"/>
            </w:tcMar>
            <w:vAlign w:val="center"/>
            <w:hideMark/>
          </w:tcPr>
          <w:p w14:paraId="005F06E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DARES</w:t>
            </w:r>
          </w:p>
        </w:tc>
      </w:tr>
      <w:tr w:rsidR="003A416F" w:rsidRPr="003A416F" w14:paraId="5BC03457" w14:textId="77777777">
        <w:tc>
          <w:tcPr>
            <w:tcW w:w="0" w:type="auto"/>
            <w:tcMar>
              <w:top w:w="150" w:type="dxa"/>
              <w:left w:w="0" w:type="dxa"/>
              <w:bottom w:w="150" w:type="dxa"/>
              <w:right w:w="240" w:type="dxa"/>
            </w:tcMar>
            <w:vAlign w:val="center"/>
            <w:hideMark/>
          </w:tcPr>
          <w:p w14:paraId="1760736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Productivité horaire</w:t>
            </w:r>
          </w:p>
        </w:tc>
        <w:tc>
          <w:tcPr>
            <w:tcW w:w="0" w:type="auto"/>
            <w:tcMar>
              <w:top w:w="150" w:type="dxa"/>
              <w:left w:w="240" w:type="dxa"/>
              <w:bottom w:w="150" w:type="dxa"/>
              <w:right w:w="240" w:type="dxa"/>
            </w:tcMar>
            <w:vAlign w:val="center"/>
            <w:hideMark/>
          </w:tcPr>
          <w:p w14:paraId="6A39056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+0,5 %/an</w:t>
            </w:r>
          </w:p>
        </w:tc>
        <w:tc>
          <w:tcPr>
            <w:tcW w:w="0" w:type="auto"/>
            <w:tcMar>
              <w:top w:w="150" w:type="dxa"/>
              <w:left w:w="240" w:type="dxa"/>
              <w:bottom w:w="150" w:type="dxa"/>
              <w:right w:w="240" w:type="dxa"/>
            </w:tcMar>
            <w:vAlign w:val="center"/>
            <w:hideMark/>
          </w:tcPr>
          <w:p w14:paraId="2891DE7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+0,4 %/an</w:t>
            </w:r>
          </w:p>
        </w:tc>
        <w:tc>
          <w:tcPr>
            <w:tcW w:w="0" w:type="auto"/>
            <w:tcMar>
              <w:top w:w="150" w:type="dxa"/>
              <w:left w:w="240" w:type="dxa"/>
              <w:bottom w:w="150" w:type="dxa"/>
              <w:right w:w="0" w:type="dxa"/>
            </w:tcMar>
            <w:vAlign w:val="center"/>
            <w:hideMark/>
          </w:tcPr>
          <w:p w14:paraId="7F1174F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OCDE</w:t>
            </w:r>
          </w:p>
        </w:tc>
      </w:tr>
      <w:tr w:rsidR="003A416F" w:rsidRPr="003A416F" w14:paraId="114FC86E" w14:textId="77777777">
        <w:tc>
          <w:tcPr>
            <w:tcW w:w="0" w:type="auto"/>
            <w:tcMar>
              <w:top w:w="150" w:type="dxa"/>
              <w:left w:w="0" w:type="dxa"/>
              <w:bottom w:w="150" w:type="dxa"/>
              <w:right w:w="240" w:type="dxa"/>
            </w:tcMar>
            <w:vAlign w:val="center"/>
            <w:hideMark/>
          </w:tcPr>
          <w:p w14:paraId="77A4D1E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Balance commerciale</w:t>
            </w:r>
          </w:p>
        </w:tc>
        <w:tc>
          <w:tcPr>
            <w:tcW w:w="0" w:type="auto"/>
            <w:tcMar>
              <w:top w:w="150" w:type="dxa"/>
              <w:left w:w="240" w:type="dxa"/>
              <w:bottom w:w="150" w:type="dxa"/>
              <w:right w:w="240" w:type="dxa"/>
            </w:tcMar>
            <w:vAlign w:val="center"/>
            <w:hideMark/>
          </w:tcPr>
          <w:p w14:paraId="09169FF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-72 Mds€</w:t>
            </w:r>
          </w:p>
        </w:tc>
        <w:tc>
          <w:tcPr>
            <w:tcW w:w="0" w:type="auto"/>
            <w:tcMar>
              <w:top w:w="150" w:type="dxa"/>
              <w:left w:w="240" w:type="dxa"/>
              <w:bottom w:w="150" w:type="dxa"/>
              <w:right w:w="240" w:type="dxa"/>
            </w:tcMar>
            <w:vAlign w:val="center"/>
            <w:hideMark/>
          </w:tcPr>
          <w:p w14:paraId="4404381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-70 Mds€</w:t>
            </w:r>
          </w:p>
        </w:tc>
        <w:tc>
          <w:tcPr>
            <w:tcW w:w="0" w:type="auto"/>
            <w:tcMar>
              <w:top w:w="150" w:type="dxa"/>
              <w:left w:w="240" w:type="dxa"/>
              <w:bottom w:w="150" w:type="dxa"/>
              <w:right w:w="0" w:type="dxa"/>
            </w:tcMar>
            <w:vAlign w:val="center"/>
            <w:hideMark/>
          </w:tcPr>
          <w:p w14:paraId="70E80D3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Douanes</w:t>
            </w:r>
          </w:p>
        </w:tc>
      </w:tr>
      <w:tr w:rsidR="003A416F" w:rsidRPr="003A416F" w14:paraId="1C3A2832" w14:textId="77777777">
        <w:tc>
          <w:tcPr>
            <w:tcW w:w="0" w:type="auto"/>
            <w:tcMar>
              <w:top w:w="150" w:type="dxa"/>
              <w:left w:w="0" w:type="dxa"/>
              <w:bottom w:w="150" w:type="dxa"/>
              <w:right w:w="240" w:type="dxa"/>
            </w:tcMar>
            <w:vAlign w:val="center"/>
            <w:hideMark/>
          </w:tcPr>
          <w:p w14:paraId="3CC8E88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Dépenses R&amp;D</w:t>
            </w:r>
          </w:p>
        </w:tc>
        <w:tc>
          <w:tcPr>
            <w:tcW w:w="0" w:type="auto"/>
            <w:tcMar>
              <w:top w:w="150" w:type="dxa"/>
              <w:left w:w="240" w:type="dxa"/>
              <w:bottom w:w="150" w:type="dxa"/>
              <w:right w:w="240" w:type="dxa"/>
            </w:tcMar>
            <w:vAlign w:val="center"/>
            <w:hideMark/>
          </w:tcPr>
          <w:p w14:paraId="028D17E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2,2 % PIB</w:t>
            </w:r>
          </w:p>
        </w:tc>
        <w:tc>
          <w:tcPr>
            <w:tcW w:w="0" w:type="auto"/>
            <w:tcMar>
              <w:top w:w="150" w:type="dxa"/>
              <w:left w:w="240" w:type="dxa"/>
              <w:bottom w:w="150" w:type="dxa"/>
              <w:right w:w="240" w:type="dxa"/>
            </w:tcMar>
            <w:vAlign w:val="center"/>
            <w:hideMark/>
          </w:tcPr>
          <w:p w14:paraId="79D9B2E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2,3 % PIB</w:t>
            </w:r>
          </w:p>
        </w:tc>
        <w:tc>
          <w:tcPr>
            <w:tcW w:w="0" w:type="auto"/>
            <w:tcMar>
              <w:top w:w="150" w:type="dxa"/>
              <w:left w:w="240" w:type="dxa"/>
              <w:bottom w:w="150" w:type="dxa"/>
              <w:right w:w="0" w:type="dxa"/>
            </w:tcMar>
            <w:vAlign w:val="center"/>
            <w:hideMark/>
          </w:tcPr>
          <w:p w14:paraId="2FB05F0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MESRI</w:t>
            </w:r>
          </w:p>
        </w:tc>
      </w:tr>
    </w:tbl>
    <w:p w14:paraId="7E24D6C9"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t>2.2. Diagnostic Structurel</w:t>
      </w:r>
    </w:p>
    <w:p w14:paraId="6650C7F1" w14:textId="77777777" w:rsidR="003A416F" w:rsidRPr="003A416F" w:rsidRDefault="003A416F" w:rsidP="003A416F">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Piège de la dette</w:t>
      </w:r>
      <w:r w:rsidRPr="003A416F">
        <w:rPr>
          <w:rFonts w:ascii="Segoe UI" w:eastAsia="Times New Roman" w:hAnsi="Segoe UI" w:cs="Segoe UI"/>
          <w:color w:val="0F1115"/>
          <w:kern w:val="0"/>
          <w:lang w:eastAsia="fr-FR"/>
          <w14:ligatures w14:val="none"/>
        </w:rPr>
        <w:t> : Le taux d’intérêt moyen (3,5 %) est supérieur à la croissance nominale (2,8 %) ; le ratio dette/PIB ne se réduit pas spontanément.</w:t>
      </w:r>
    </w:p>
    <w:p w14:paraId="44134A2F" w14:textId="77777777" w:rsidR="003A416F" w:rsidRPr="003A416F" w:rsidRDefault="003A416F" w:rsidP="003A416F">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Dépenses publiques inefficaces</w:t>
      </w:r>
      <w:r w:rsidRPr="003A416F">
        <w:rPr>
          <w:rFonts w:ascii="Segoe UI" w:eastAsia="Times New Roman" w:hAnsi="Segoe UI" w:cs="Segoe UI"/>
          <w:color w:val="0F1115"/>
          <w:kern w:val="0"/>
          <w:lang w:eastAsia="fr-FR"/>
          <w14:ligatures w14:val="none"/>
        </w:rPr>
        <w:t> : Malgré des taux de prélèvement record, les services publics (santé, éducation, justice) montrent des signes de sous-performance ; les niches fiscales et sociales coûtent plus de 100 Mds€ par an sans effet démontré sur la croissance.</w:t>
      </w:r>
    </w:p>
    <w:p w14:paraId="3311BA8D" w14:textId="77777777" w:rsidR="003A416F" w:rsidRPr="003A416F" w:rsidRDefault="003A416F" w:rsidP="003A416F">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Vieillissement démographique</w:t>
      </w:r>
      <w:r w:rsidRPr="003A416F">
        <w:rPr>
          <w:rFonts w:ascii="Segoe UI" w:eastAsia="Times New Roman" w:hAnsi="Segoe UI" w:cs="Segoe UI"/>
          <w:color w:val="0F1115"/>
          <w:kern w:val="0"/>
          <w:lang w:eastAsia="fr-FR"/>
          <w14:ligatures w14:val="none"/>
        </w:rPr>
        <w:t> : Les dépenses de retraite et de santé vont croître mécaniquement de 0,5 point de PIB par an jusqu’en 2030.</w:t>
      </w:r>
    </w:p>
    <w:p w14:paraId="4A2E8605" w14:textId="77777777" w:rsidR="003A416F" w:rsidRPr="003A416F" w:rsidRDefault="003A416F" w:rsidP="003A416F">
      <w:pPr>
        <w:numPr>
          <w:ilvl w:val="0"/>
          <w:numId w:val="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Faiblesse de la croissance potentielle</w:t>
      </w:r>
      <w:r w:rsidRPr="003A416F">
        <w:rPr>
          <w:rFonts w:ascii="Segoe UI" w:eastAsia="Times New Roman" w:hAnsi="Segoe UI" w:cs="Segoe UI"/>
          <w:color w:val="0F1115"/>
          <w:kern w:val="0"/>
          <w:lang w:eastAsia="fr-FR"/>
          <w14:ligatures w14:val="none"/>
        </w:rPr>
        <w:t> : Estimée à 1,0 – 1,2 %, elle est insuffisante pour résorber le déficit par la seule croissance.</w:t>
      </w:r>
    </w:p>
    <w:p w14:paraId="75D83CA3"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01214321">
          <v:rect id="_x0000_i1041" alt="" style="width:453.6pt;height:.05pt;mso-width-percent:0;mso-height-percent:0;mso-width-percent:0;mso-height-percent:0" o:hralign="center" o:hrstd="t" o:hr="t" fillcolor="#a0a0a0" stroked="f"/>
        </w:pict>
      </w:r>
    </w:p>
    <w:p w14:paraId="039B3CB8"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3. PRÉSENTATION DÉTAILLÉE DES TROIS SCÉNARIOS</w:t>
      </w:r>
    </w:p>
    <w:p w14:paraId="757509ED"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lastRenderedPageBreak/>
        <w:t>SCÉNARIO 1 – ÉQUILIBRE : Solde Public 0 % du PIB en 2032</w:t>
      </w:r>
    </w:p>
    <w:p w14:paraId="260AB3F3"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Hypothèses macroéconomiques :</w:t>
      </w:r>
    </w:p>
    <w:p w14:paraId="03A62582" w14:textId="77777777" w:rsidR="003A416F" w:rsidRPr="003A416F" w:rsidRDefault="003A416F" w:rsidP="003A416F">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Croissance réelle : 1,2 % en 2028-2030, 1,5 % en 2031-2032 (effet des réformes).</w:t>
      </w:r>
    </w:p>
    <w:p w14:paraId="17F9907F" w14:textId="77777777" w:rsidR="003A416F" w:rsidRPr="003A416F" w:rsidRDefault="003A416F" w:rsidP="003A416F">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Inflation : 2,0 % (BCE).</w:t>
      </w:r>
    </w:p>
    <w:p w14:paraId="5C290850" w14:textId="77777777" w:rsidR="003A416F" w:rsidRPr="003A416F" w:rsidRDefault="003A416F" w:rsidP="003A416F">
      <w:pPr>
        <w:numPr>
          <w:ilvl w:val="0"/>
          <w:numId w:val="4"/>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Taux d’intérêt 10 ans : 3,5 %.</w:t>
      </w:r>
    </w:p>
    <w:p w14:paraId="2D30DD6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Trajectoire budgétaire (synthèse) :</w:t>
      </w:r>
    </w:p>
    <w:tbl>
      <w:tblPr>
        <w:tblW w:w="0" w:type="auto"/>
        <w:tblCellMar>
          <w:top w:w="15" w:type="dxa"/>
          <w:left w:w="15" w:type="dxa"/>
          <w:bottom w:w="15" w:type="dxa"/>
          <w:right w:w="15" w:type="dxa"/>
        </w:tblCellMar>
        <w:tblLook w:val="04A0" w:firstRow="1" w:lastRow="0" w:firstColumn="1" w:lastColumn="0" w:noHBand="0" w:noVBand="1"/>
      </w:tblPr>
      <w:tblGrid>
        <w:gridCol w:w="890"/>
        <w:gridCol w:w="2505"/>
        <w:gridCol w:w="1813"/>
        <w:gridCol w:w="2982"/>
      </w:tblGrid>
      <w:tr w:rsidR="003A416F" w:rsidRPr="003A416F" w14:paraId="0244B3C9" w14:textId="77777777">
        <w:trPr>
          <w:tblHeader/>
        </w:trPr>
        <w:tc>
          <w:tcPr>
            <w:tcW w:w="0" w:type="auto"/>
            <w:tcBorders>
              <w:top w:val="nil"/>
            </w:tcBorders>
            <w:tcMar>
              <w:top w:w="150" w:type="dxa"/>
              <w:left w:w="0" w:type="dxa"/>
              <w:bottom w:w="150" w:type="dxa"/>
              <w:right w:w="240" w:type="dxa"/>
            </w:tcMar>
            <w:vAlign w:val="center"/>
            <w:hideMark/>
          </w:tcPr>
          <w:p w14:paraId="46AA60F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Année</w:t>
            </w:r>
          </w:p>
        </w:tc>
        <w:tc>
          <w:tcPr>
            <w:tcW w:w="0" w:type="auto"/>
            <w:tcBorders>
              <w:top w:val="nil"/>
            </w:tcBorders>
            <w:tcMar>
              <w:top w:w="150" w:type="dxa"/>
              <w:left w:w="240" w:type="dxa"/>
              <w:bottom w:w="150" w:type="dxa"/>
              <w:right w:w="240" w:type="dxa"/>
            </w:tcMar>
            <w:vAlign w:val="center"/>
            <w:hideMark/>
          </w:tcPr>
          <w:p w14:paraId="115654B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Solde public (% PIB)</w:t>
            </w:r>
          </w:p>
        </w:tc>
        <w:tc>
          <w:tcPr>
            <w:tcW w:w="0" w:type="auto"/>
            <w:tcBorders>
              <w:top w:val="nil"/>
            </w:tcBorders>
            <w:tcMar>
              <w:top w:w="150" w:type="dxa"/>
              <w:left w:w="240" w:type="dxa"/>
              <w:bottom w:w="150" w:type="dxa"/>
              <w:right w:w="240" w:type="dxa"/>
            </w:tcMar>
            <w:vAlign w:val="center"/>
            <w:hideMark/>
          </w:tcPr>
          <w:p w14:paraId="37FDF0A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Dette (% PIB)</w:t>
            </w:r>
          </w:p>
        </w:tc>
        <w:tc>
          <w:tcPr>
            <w:tcW w:w="0" w:type="auto"/>
            <w:tcBorders>
              <w:top w:val="nil"/>
            </w:tcBorders>
            <w:tcMar>
              <w:top w:w="150" w:type="dxa"/>
              <w:left w:w="240" w:type="dxa"/>
              <w:bottom w:w="150" w:type="dxa"/>
              <w:right w:w="240" w:type="dxa"/>
            </w:tcMar>
            <w:vAlign w:val="center"/>
            <w:hideMark/>
          </w:tcPr>
          <w:p w14:paraId="2405817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Charge d’intérêts (Mds€)</w:t>
            </w:r>
          </w:p>
        </w:tc>
      </w:tr>
      <w:tr w:rsidR="003A416F" w:rsidRPr="003A416F" w14:paraId="36125A84" w14:textId="77777777">
        <w:tc>
          <w:tcPr>
            <w:tcW w:w="0" w:type="auto"/>
            <w:tcMar>
              <w:top w:w="150" w:type="dxa"/>
              <w:left w:w="0" w:type="dxa"/>
              <w:bottom w:w="150" w:type="dxa"/>
              <w:right w:w="240" w:type="dxa"/>
            </w:tcMar>
            <w:vAlign w:val="center"/>
            <w:hideMark/>
          </w:tcPr>
          <w:p w14:paraId="20B1DBA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240" w:type="dxa"/>
            </w:tcMar>
            <w:vAlign w:val="center"/>
            <w:hideMark/>
          </w:tcPr>
          <w:p w14:paraId="62450B0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w:t>
            </w:r>
          </w:p>
        </w:tc>
        <w:tc>
          <w:tcPr>
            <w:tcW w:w="0" w:type="auto"/>
            <w:tcMar>
              <w:top w:w="150" w:type="dxa"/>
              <w:left w:w="240" w:type="dxa"/>
              <w:bottom w:w="150" w:type="dxa"/>
              <w:right w:w="240" w:type="dxa"/>
            </w:tcMar>
            <w:vAlign w:val="center"/>
            <w:hideMark/>
          </w:tcPr>
          <w:p w14:paraId="0DC62A6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117,6</w:t>
            </w:r>
          </w:p>
        </w:tc>
        <w:tc>
          <w:tcPr>
            <w:tcW w:w="0" w:type="auto"/>
            <w:tcMar>
              <w:top w:w="150" w:type="dxa"/>
              <w:left w:w="240" w:type="dxa"/>
              <w:bottom w:w="150" w:type="dxa"/>
              <w:right w:w="0" w:type="dxa"/>
            </w:tcMar>
            <w:vAlign w:val="center"/>
            <w:hideMark/>
          </w:tcPr>
          <w:p w14:paraId="0656414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77</w:t>
            </w:r>
          </w:p>
        </w:tc>
      </w:tr>
      <w:tr w:rsidR="003A416F" w:rsidRPr="003A416F" w14:paraId="7EC9C2A0" w14:textId="77777777">
        <w:tc>
          <w:tcPr>
            <w:tcW w:w="0" w:type="auto"/>
            <w:tcMar>
              <w:top w:w="150" w:type="dxa"/>
              <w:left w:w="0" w:type="dxa"/>
              <w:bottom w:w="150" w:type="dxa"/>
              <w:right w:w="240" w:type="dxa"/>
            </w:tcMar>
            <w:vAlign w:val="center"/>
            <w:hideMark/>
          </w:tcPr>
          <w:p w14:paraId="7927561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2027</w:t>
            </w:r>
          </w:p>
        </w:tc>
        <w:tc>
          <w:tcPr>
            <w:tcW w:w="0" w:type="auto"/>
            <w:tcMar>
              <w:top w:w="150" w:type="dxa"/>
              <w:left w:w="240" w:type="dxa"/>
              <w:bottom w:w="150" w:type="dxa"/>
              <w:right w:w="240" w:type="dxa"/>
            </w:tcMar>
            <w:vAlign w:val="center"/>
            <w:hideMark/>
          </w:tcPr>
          <w:p w14:paraId="751F806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-3,8</w:t>
            </w:r>
          </w:p>
        </w:tc>
        <w:tc>
          <w:tcPr>
            <w:tcW w:w="0" w:type="auto"/>
            <w:tcMar>
              <w:top w:w="150" w:type="dxa"/>
              <w:left w:w="240" w:type="dxa"/>
              <w:bottom w:w="150" w:type="dxa"/>
              <w:right w:w="240" w:type="dxa"/>
            </w:tcMar>
            <w:vAlign w:val="center"/>
            <w:hideMark/>
          </w:tcPr>
          <w:p w14:paraId="548E08F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118,5</w:t>
            </w:r>
          </w:p>
        </w:tc>
        <w:tc>
          <w:tcPr>
            <w:tcW w:w="0" w:type="auto"/>
            <w:tcMar>
              <w:top w:w="150" w:type="dxa"/>
              <w:left w:w="240" w:type="dxa"/>
              <w:bottom w:w="150" w:type="dxa"/>
              <w:right w:w="0" w:type="dxa"/>
            </w:tcMar>
            <w:vAlign w:val="center"/>
            <w:hideMark/>
          </w:tcPr>
          <w:p w14:paraId="67FA0CC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85</w:t>
            </w:r>
          </w:p>
        </w:tc>
      </w:tr>
      <w:tr w:rsidR="003A416F" w:rsidRPr="003A416F" w14:paraId="761A46D0" w14:textId="77777777">
        <w:tc>
          <w:tcPr>
            <w:tcW w:w="0" w:type="auto"/>
            <w:tcMar>
              <w:top w:w="150" w:type="dxa"/>
              <w:left w:w="0" w:type="dxa"/>
              <w:bottom w:w="150" w:type="dxa"/>
              <w:right w:w="240" w:type="dxa"/>
            </w:tcMar>
            <w:vAlign w:val="center"/>
            <w:hideMark/>
          </w:tcPr>
          <w:p w14:paraId="1D3C702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2028</w:t>
            </w:r>
          </w:p>
        </w:tc>
        <w:tc>
          <w:tcPr>
            <w:tcW w:w="0" w:type="auto"/>
            <w:tcMar>
              <w:top w:w="150" w:type="dxa"/>
              <w:left w:w="240" w:type="dxa"/>
              <w:bottom w:w="150" w:type="dxa"/>
              <w:right w:w="240" w:type="dxa"/>
            </w:tcMar>
            <w:vAlign w:val="center"/>
            <w:hideMark/>
          </w:tcPr>
          <w:p w14:paraId="32A6938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-2,5</w:t>
            </w:r>
          </w:p>
        </w:tc>
        <w:tc>
          <w:tcPr>
            <w:tcW w:w="0" w:type="auto"/>
            <w:tcMar>
              <w:top w:w="150" w:type="dxa"/>
              <w:left w:w="240" w:type="dxa"/>
              <w:bottom w:w="150" w:type="dxa"/>
              <w:right w:w="240" w:type="dxa"/>
            </w:tcMar>
            <w:vAlign w:val="center"/>
            <w:hideMark/>
          </w:tcPr>
          <w:p w14:paraId="3B759CD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117,0</w:t>
            </w:r>
          </w:p>
        </w:tc>
        <w:tc>
          <w:tcPr>
            <w:tcW w:w="0" w:type="auto"/>
            <w:tcMar>
              <w:top w:w="150" w:type="dxa"/>
              <w:left w:w="240" w:type="dxa"/>
              <w:bottom w:w="150" w:type="dxa"/>
              <w:right w:w="0" w:type="dxa"/>
            </w:tcMar>
            <w:vAlign w:val="center"/>
            <w:hideMark/>
          </w:tcPr>
          <w:p w14:paraId="2A0DFFC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88</w:t>
            </w:r>
          </w:p>
        </w:tc>
      </w:tr>
      <w:tr w:rsidR="003A416F" w:rsidRPr="003A416F" w14:paraId="0FE57D13" w14:textId="77777777">
        <w:tc>
          <w:tcPr>
            <w:tcW w:w="0" w:type="auto"/>
            <w:tcMar>
              <w:top w:w="150" w:type="dxa"/>
              <w:left w:w="0" w:type="dxa"/>
              <w:bottom w:w="150" w:type="dxa"/>
              <w:right w:w="240" w:type="dxa"/>
            </w:tcMar>
            <w:vAlign w:val="center"/>
            <w:hideMark/>
          </w:tcPr>
          <w:p w14:paraId="691B8B6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2029</w:t>
            </w:r>
          </w:p>
        </w:tc>
        <w:tc>
          <w:tcPr>
            <w:tcW w:w="0" w:type="auto"/>
            <w:tcMar>
              <w:top w:w="150" w:type="dxa"/>
              <w:left w:w="240" w:type="dxa"/>
              <w:bottom w:w="150" w:type="dxa"/>
              <w:right w:w="240" w:type="dxa"/>
            </w:tcMar>
            <w:vAlign w:val="center"/>
            <w:hideMark/>
          </w:tcPr>
          <w:p w14:paraId="60BEDEC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-1,5</w:t>
            </w:r>
          </w:p>
        </w:tc>
        <w:tc>
          <w:tcPr>
            <w:tcW w:w="0" w:type="auto"/>
            <w:tcMar>
              <w:top w:w="150" w:type="dxa"/>
              <w:left w:w="240" w:type="dxa"/>
              <w:bottom w:w="150" w:type="dxa"/>
              <w:right w:w="240" w:type="dxa"/>
            </w:tcMar>
            <w:vAlign w:val="center"/>
            <w:hideMark/>
          </w:tcPr>
          <w:p w14:paraId="157570A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114,5</w:t>
            </w:r>
          </w:p>
        </w:tc>
        <w:tc>
          <w:tcPr>
            <w:tcW w:w="0" w:type="auto"/>
            <w:tcMar>
              <w:top w:w="150" w:type="dxa"/>
              <w:left w:w="240" w:type="dxa"/>
              <w:bottom w:w="150" w:type="dxa"/>
              <w:right w:w="0" w:type="dxa"/>
            </w:tcMar>
            <w:vAlign w:val="center"/>
            <w:hideMark/>
          </w:tcPr>
          <w:p w14:paraId="556E9F6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90</w:t>
            </w:r>
          </w:p>
        </w:tc>
      </w:tr>
      <w:tr w:rsidR="003A416F" w:rsidRPr="003A416F" w14:paraId="29D453E6" w14:textId="77777777">
        <w:tc>
          <w:tcPr>
            <w:tcW w:w="0" w:type="auto"/>
            <w:tcMar>
              <w:top w:w="150" w:type="dxa"/>
              <w:left w:w="0" w:type="dxa"/>
              <w:bottom w:w="150" w:type="dxa"/>
              <w:right w:w="240" w:type="dxa"/>
            </w:tcMar>
            <w:vAlign w:val="center"/>
            <w:hideMark/>
          </w:tcPr>
          <w:p w14:paraId="71FBE8C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2030</w:t>
            </w:r>
          </w:p>
        </w:tc>
        <w:tc>
          <w:tcPr>
            <w:tcW w:w="0" w:type="auto"/>
            <w:tcMar>
              <w:top w:w="150" w:type="dxa"/>
              <w:left w:w="240" w:type="dxa"/>
              <w:bottom w:w="150" w:type="dxa"/>
              <w:right w:w="240" w:type="dxa"/>
            </w:tcMar>
            <w:vAlign w:val="center"/>
            <w:hideMark/>
          </w:tcPr>
          <w:p w14:paraId="681E71A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-0,8</w:t>
            </w:r>
          </w:p>
        </w:tc>
        <w:tc>
          <w:tcPr>
            <w:tcW w:w="0" w:type="auto"/>
            <w:tcMar>
              <w:top w:w="150" w:type="dxa"/>
              <w:left w:w="240" w:type="dxa"/>
              <w:bottom w:w="150" w:type="dxa"/>
              <w:right w:w="240" w:type="dxa"/>
            </w:tcMar>
            <w:vAlign w:val="center"/>
            <w:hideMark/>
          </w:tcPr>
          <w:p w14:paraId="72FA556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111,2</w:t>
            </w:r>
          </w:p>
        </w:tc>
        <w:tc>
          <w:tcPr>
            <w:tcW w:w="0" w:type="auto"/>
            <w:tcMar>
              <w:top w:w="150" w:type="dxa"/>
              <w:left w:w="240" w:type="dxa"/>
              <w:bottom w:w="150" w:type="dxa"/>
              <w:right w:w="0" w:type="dxa"/>
            </w:tcMar>
            <w:vAlign w:val="center"/>
            <w:hideMark/>
          </w:tcPr>
          <w:p w14:paraId="08AB2C6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92</w:t>
            </w:r>
          </w:p>
        </w:tc>
      </w:tr>
      <w:tr w:rsidR="003A416F" w:rsidRPr="003A416F" w14:paraId="14838D3F" w14:textId="77777777">
        <w:tc>
          <w:tcPr>
            <w:tcW w:w="0" w:type="auto"/>
            <w:tcMar>
              <w:top w:w="150" w:type="dxa"/>
              <w:left w:w="0" w:type="dxa"/>
              <w:bottom w:w="150" w:type="dxa"/>
              <w:right w:w="240" w:type="dxa"/>
            </w:tcMar>
            <w:vAlign w:val="center"/>
            <w:hideMark/>
          </w:tcPr>
          <w:p w14:paraId="51A3738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2031</w:t>
            </w:r>
          </w:p>
        </w:tc>
        <w:tc>
          <w:tcPr>
            <w:tcW w:w="0" w:type="auto"/>
            <w:tcMar>
              <w:top w:w="150" w:type="dxa"/>
              <w:left w:w="240" w:type="dxa"/>
              <w:bottom w:w="150" w:type="dxa"/>
              <w:right w:w="240" w:type="dxa"/>
            </w:tcMar>
            <w:vAlign w:val="center"/>
            <w:hideMark/>
          </w:tcPr>
          <w:p w14:paraId="0693B4C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-0,3</w:t>
            </w:r>
          </w:p>
        </w:tc>
        <w:tc>
          <w:tcPr>
            <w:tcW w:w="0" w:type="auto"/>
            <w:tcMar>
              <w:top w:w="150" w:type="dxa"/>
              <w:left w:w="240" w:type="dxa"/>
              <w:bottom w:w="150" w:type="dxa"/>
              <w:right w:w="240" w:type="dxa"/>
            </w:tcMar>
            <w:vAlign w:val="center"/>
            <w:hideMark/>
          </w:tcPr>
          <w:p w14:paraId="6B8AC24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108,8</w:t>
            </w:r>
          </w:p>
        </w:tc>
        <w:tc>
          <w:tcPr>
            <w:tcW w:w="0" w:type="auto"/>
            <w:tcMar>
              <w:top w:w="150" w:type="dxa"/>
              <w:left w:w="240" w:type="dxa"/>
              <w:bottom w:w="150" w:type="dxa"/>
              <w:right w:w="0" w:type="dxa"/>
            </w:tcMar>
            <w:vAlign w:val="center"/>
            <w:hideMark/>
          </w:tcPr>
          <w:p w14:paraId="454C206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94</w:t>
            </w:r>
          </w:p>
        </w:tc>
      </w:tr>
      <w:tr w:rsidR="003A416F" w:rsidRPr="003A416F" w14:paraId="3D1A6DFF" w14:textId="77777777">
        <w:tc>
          <w:tcPr>
            <w:tcW w:w="0" w:type="auto"/>
            <w:tcMar>
              <w:top w:w="150" w:type="dxa"/>
              <w:left w:w="0" w:type="dxa"/>
              <w:bottom w:w="150" w:type="dxa"/>
              <w:right w:w="240" w:type="dxa"/>
            </w:tcMar>
            <w:vAlign w:val="center"/>
            <w:hideMark/>
          </w:tcPr>
          <w:p w14:paraId="15CE797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2032</w:t>
            </w:r>
          </w:p>
        </w:tc>
        <w:tc>
          <w:tcPr>
            <w:tcW w:w="0" w:type="auto"/>
            <w:tcMar>
              <w:top w:w="150" w:type="dxa"/>
              <w:left w:w="240" w:type="dxa"/>
              <w:bottom w:w="150" w:type="dxa"/>
              <w:right w:w="240" w:type="dxa"/>
            </w:tcMar>
            <w:vAlign w:val="center"/>
            <w:hideMark/>
          </w:tcPr>
          <w:p w14:paraId="2D1679F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0,0</w:t>
            </w:r>
          </w:p>
        </w:tc>
        <w:tc>
          <w:tcPr>
            <w:tcW w:w="0" w:type="auto"/>
            <w:tcMar>
              <w:top w:w="150" w:type="dxa"/>
              <w:left w:w="240" w:type="dxa"/>
              <w:bottom w:w="150" w:type="dxa"/>
              <w:right w:w="240" w:type="dxa"/>
            </w:tcMar>
            <w:vAlign w:val="center"/>
            <w:hideMark/>
          </w:tcPr>
          <w:p w14:paraId="5251A0E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107,5</w:t>
            </w:r>
          </w:p>
        </w:tc>
        <w:tc>
          <w:tcPr>
            <w:tcW w:w="0" w:type="auto"/>
            <w:tcMar>
              <w:top w:w="150" w:type="dxa"/>
              <w:left w:w="240" w:type="dxa"/>
              <w:bottom w:w="150" w:type="dxa"/>
              <w:right w:w="0" w:type="dxa"/>
            </w:tcMar>
            <w:vAlign w:val="center"/>
            <w:hideMark/>
          </w:tcPr>
          <w:p w14:paraId="2096327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96</w:t>
            </w:r>
          </w:p>
        </w:tc>
      </w:tr>
    </w:tbl>
    <w:p w14:paraId="39FAB205"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Mesures clés (ajustement de 150 Mds€) :</w:t>
      </w:r>
    </w:p>
    <w:p w14:paraId="618C303F" w14:textId="77777777" w:rsidR="003A416F" w:rsidRPr="003A416F" w:rsidRDefault="003A416F" w:rsidP="003A416F">
      <w:pPr>
        <w:numPr>
          <w:ilvl w:val="0"/>
          <w:numId w:val="5"/>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Économies (100 Mds€)</w:t>
      </w:r>
      <w:r w:rsidRPr="003A416F">
        <w:rPr>
          <w:rFonts w:ascii="Segoe UI" w:eastAsia="Times New Roman" w:hAnsi="Segoe UI" w:cs="Segoe UI"/>
          <w:color w:val="0F1115"/>
          <w:kern w:val="0"/>
          <w:lang w:eastAsia="fr-FR"/>
          <w14:ligatures w14:val="none"/>
        </w:rPr>
        <w:t> :</w:t>
      </w:r>
    </w:p>
    <w:p w14:paraId="5A23D732"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Réforme des retraites (âge pivot à 65 ans, convergence public/privé) : 20 Mds€.</w:t>
      </w:r>
    </w:p>
    <w:p w14:paraId="2C03921A"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Efficience hospitalière et médicaments génériques : 10 Mds€.</w:t>
      </w:r>
    </w:p>
    <w:p w14:paraId="2008A95E"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Réduction des effectifs de l’État (-5 % sur 6 ans par attrition) : 15 Mds€.</w:t>
      </w:r>
    </w:p>
    <w:p w14:paraId="07563E4A"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Rationalisation des collectivités (fusion régions/départements) : 10 Mds€.</w:t>
      </w:r>
    </w:p>
    <w:p w14:paraId="12A046C5"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Révision des aides aux entreprises (suppression des niches sans efficacité) : 25 Mds€.</w:t>
      </w:r>
    </w:p>
    <w:p w14:paraId="29C7BBA6"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Lutte contre la fraude et optimisation fiscale : 10 Mds€.</w:t>
      </w:r>
    </w:p>
    <w:p w14:paraId="6E769F1A" w14:textId="77777777" w:rsidR="003A416F" w:rsidRPr="003A416F" w:rsidRDefault="003A416F" w:rsidP="003A416F">
      <w:pPr>
        <w:numPr>
          <w:ilvl w:val="0"/>
          <w:numId w:val="5"/>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Recettes nouvelles (50 Mds€)</w:t>
      </w:r>
      <w:r w:rsidRPr="003A416F">
        <w:rPr>
          <w:rFonts w:ascii="Segoe UI" w:eastAsia="Times New Roman" w:hAnsi="Segoe UI" w:cs="Segoe UI"/>
          <w:color w:val="0F1115"/>
          <w:kern w:val="0"/>
          <w:lang w:eastAsia="fr-FR"/>
          <w14:ligatures w14:val="none"/>
        </w:rPr>
        <w:t> :</w:t>
      </w:r>
    </w:p>
    <w:p w14:paraId="57C29371"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TVA sociale ou hausse de la CSG sur les revenus du capital : 20 Mds€.</w:t>
      </w:r>
    </w:p>
    <w:p w14:paraId="5E9F3E93"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Taxation des super-profits et rachats d’actions : 10 Mds€.</w:t>
      </w:r>
    </w:p>
    <w:p w14:paraId="1E307628"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lastRenderedPageBreak/>
        <w:t>Écotaxe carbone aux frontières (MACF) : 10 Mds€.</w:t>
      </w:r>
    </w:p>
    <w:p w14:paraId="44318D76" w14:textId="77777777" w:rsidR="003A416F" w:rsidRPr="003A416F" w:rsidRDefault="003A416F" w:rsidP="003A416F">
      <w:pPr>
        <w:numPr>
          <w:ilvl w:val="1"/>
          <w:numId w:val="5"/>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Lutte contre l’optimisation fiscale internationale : 10 Mds€.</w:t>
      </w:r>
    </w:p>
    <w:p w14:paraId="3C0CB2CC"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Verdict :</w:t>
      </w:r>
      <w:r w:rsidRPr="003A416F">
        <w:rPr>
          <w:rFonts w:ascii="Segoe UI" w:eastAsia="Times New Roman" w:hAnsi="Segoe UI" w:cs="Segoe UI"/>
          <w:color w:val="0F1115"/>
          <w:kern w:val="0"/>
          <w:lang w:eastAsia="fr-FR"/>
          <w14:ligatures w14:val="none"/>
        </w:rPr>
        <w:t> Scénario réaliste, soutenable politiquement avec un pilotage rigoureux. La dette est stabilisée et commence à décroître en 2030.</w:t>
      </w:r>
    </w:p>
    <w:p w14:paraId="4E340829"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7B762266">
          <v:rect id="_x0000_i1040" alt="" style="width:453.6pt;height:.05pt;mso-width-percent:0;mso-height-percent:0;mso-width-percent:0;mso-height-percent:0" o:hralign="center" o:hrstd="t" o:hr="t" fillcolor="#a0a0a0" stroked="f"/>
        </w:pict>
      </w:r>
    </w:p>
    <w:p w14:paraId="3D29F4BF"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t>SCÉNARIO 2 – SUPER-EXCÉDENT : +10 % du PIB en 2032</w:t>
      </w:r>
    </w:p>
    <w:p w14:paraId="0D9F13CA"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Hypothèses macroéconomiques :</w:t>
      </w:r>
    </w:p>
    <w:p w14:paraId="2AC6DC0A" w14:textId="77777777" w:rsidR="003A416F" w:rsidRPr="003A416F" w:rsidRDefault="003A416F" w:rsidP="003A416F">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Croissance réelle : négative en 2027-2029 (choc d’austérité), puis 0,5 % en 2032.</w:t>
      </w:r>
    </w:p>
    <w:p w14:paraId="29F43331" w14:textId="77777777" w:rsidR="003A416F" w:rsidRPr="003A416F" w:rsidRDefault="003A416F" w:rsidP="003A416F">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Inflation : 1,0 % (déflation par la demande).</w:t>
      </w:r>
    </w:p>
    <w:p w14:paraId="185CA430" w14:textId="77777777" w:rsidR="003A416F" w:rsidRPr="003A416F" w:rsidRDefault="003A416F" w:rsidP="003A416F">
      <w:pPr>
        <w:numPr>
          <w:ilvl w:val="0"/>
          <w:numId w:val="6"/>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Taux d’intérêt : 4,0 % (risque souverain).</w:t>
      </w:r>
    </w:p>
    <w:p w14:paraId="3513808F"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Trajectoire budgétaire :</w:t>
      </w:r>
    </w:p>
    <w:tbl>
      <w:tblPr>
        <w:tblW w:w="11280" w:type="dxa"/>
        <w:tblCellMar>
          <w:top w:w="15" w:type="dxa"/>
          <w:left w:w="15" w:type="dxa"/>
          <w:bottom w:w="15" w:type="dxa"/>
          <w:right w:w="15" w:type="dxa"/>
        </w:tblCellMar>
        <w:tblLook w:val="04A0" w:firstRow="1" w:lastRow="0" w:firstColumn="1" w:lastColumn="0" w:noHBand="0" w:noVBand="1"/>
      </w:tblPr>
      <w:tblGrid>
        <w:gridCol w:w="1927"/>
        <w:gridCol w:w="5426"/>
        <w:gridCol w:w="3927"/>
      </w:tblGrid>
      <w:tr w:rsidR="003A416F" w:rsidRPr="003A416F" w14:paraId="7135FB5F" w14:textId="77777777">
        <w:trPr>
          <w:tblHeader/>
        </w:trPr>
        <w:tc>
          <w:tcPr>
            <w:tcW w:w="0" w:type="auto"/>
            <w:tcBorders>
              <w:top w:val="nil"/>
            </w:tcBorders>
            <w:tcMar>
              <w:top w:w="150" w:type="dxa"/>
              <w:left w:w="0" w:type="dxa"/>
              <w:bottom w:w="150" w:type="dxa"/>
              <w:right w:w="240" w:type="dxa"/>
            </w:tcMar>
            <w:vAlign w:val="center"/>
            <w:hideMark/>
          </w:tcPr>
          <w:p w14:paraId="4837AD7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Année</w:t>
            </w:r>
          </w:p>
        </w:tc>
        <w:tc>
          <w:tcPr>
            <w:tcW w:w="0" w:type="auto"/>
            <w:tcBorders>
              <w:top w:val="nil"/>
            </w:tcBorders>
            <w:tcMar>
              <w:top w:w="150" w:type="dxa"/>
              <w:left w:w="240" w:type="dxa"/>
              <w:bottom w:w="150" w:type="dxa"/>
              <w:right w:w="240" w:type="dxa"/>
            </w:tcMar>
            <w:vAlign w:val="center"/>
            <w:hideMark/>
          </w:tcPr>
          <w:p w14:paraId="1B076F7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Solde public (% PIB)</w:t>
            </w:r>
          </w:p>
        </w:tc>
        <w:tc>
          <w:tcPr>
            <w:tcW w:w="0" w:type="auto"/>
            <w:tcBorders>
              <w:top w:val="nil"/>
            </w:tcBorders>
            <w:tcMar>
              <w:top w:w="150" w:type="dxa"/>
              <w:left w:w="240" w:type="dxa"/>
              <w:bottom w:w="150" w:type="dxa"/>
              <w:right w:w="240" w:type="dxa"/>
            </w:tcMar>
            <w:vAlign w:val="center"/>
            <w:hideMark/>
          </w:tcPr>
          <w:p w14:paraId="074B5CD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Dette (% PIB)</w:t>
            </w:r>
          </w:p>
        </w:tc>
      </w:tr>
      <w:tr w:rsidR="003A416F" w:rsidRPr="003A416F" w14:paraId="51ACCEF8" w14:textId="77777777">
        <w:tc>
          <w:tcPr>
            <w:tcW w:w="0" w:type="auto"/>
            <w:tcMar>
              <w:top w:w="150" w:type="dxa"/>
              <w:left w:w="0" w:type="dxa"/>
              <w:bottom w:w="150" w:type="dxa"/>
              <w:right w:w="240" w:type="dxa"/>
            </w:tcMar>
            <w:vAlign w:val="center"/>
            <w:hideMark/>
          </w:tcPr>
          <w:p w14:paraId="3EF9661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240" w:type="dxa"/>
            </w:tcMar>
            <w:vAlign w:val="center"/>
            <w:hideMark/>
          </w:tcPr>
          <w:p w14:paraId="00CE86D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w:t>
            </w:r>
          </w:p>
        </w:tc>
        <w:tc>
          <w:tcPr>
            <w:tcW w:w="0" w:type="auto"/>
            <w:tcMar>
              <w:top w:w="150" w:type="dxa"/>
              <w:left w:w="240" w:type="dxa"/>
              <w:bottom w:w="150" w:type="dxa"/>
              <w:right w:w="0" w:type="dxa"/>
            </w:tcMar>
            <w:vAlign w:val="center"/>
            <w:hideMark/>
          </w:tcPr>
          <w:p w14:paraId="0E1834C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117,6</w:t>
            </w:r>
          </w:p>
        </w:tc>
      </w:tr>
      <w:tr w:rsidR="003A416F" w:rsidRPr="003A416F" w14:paraId="1AF3FF21" w14:textId="77777777">
        <w:tc>
          <w:tcPr>
            <w:tcW w:w="0" w:type="auto"/>
            <w:tcMar>
              <w:top w:w="150" w:type="dxa"/>
              <w:left w:w="0" w:type="dxa"/>
              <w:bottom w:w="150" w:type="dxa"/>
              <w:right w:w="240" w:type="dxa"/>
            </w:tcMar>
            <w:vAlign w:val="center"/>
            <w:hideMark/>
          </w:tcPr>
          <w:p w14:paraId="6D8CD2E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2027</w:t>
            </w:r>
          </w:p>
        </w:tc>
        <w:tc>
          <w:tcPr>
            <w:tcW w:w="0" w:type="auto"/>
            <w:tcMar>
              <w:top w:w="150" w:type="dxa"/>
              <w:left w:w="240" w:type="dxa"/>
              <w:bottom w:w="150" w:type="dxa"/>
              <w:right w:w="240" w:type="dxa"/>
            </w:tcMar>
            <w:vAlign w:val="center"/>
            <w:hideMark/>
          </w:tcPr>
          <w:p w14:paraId="4E84B3A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-2,5</w:t>
            </w:r>
          </w:p>
        </w:tc>
        <w:tc>
          <w:tcPr>
            <w:tcW w:w="0" w:type="auto"/>
            <w:tcMar>
              <w:top w:w="150" w:type="dxa"/>
              <w:left w:w="240" w:type="dxa"/>
              <w:bottom w:w="150" w:type="dxa"/>
              <w:right w:w="0" w:type="dxa"/>
            </w:tcMar>
            <w:vAlign w:val="center"/>
            <w:hideMark/>
          </w:tcPr>
          <w:p w14:paraId="53EBDFC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119,0</w:t>
            </w:r>
          </w:p>
        </w:tc>
      </w:tr>
      <w:tr w:rsidR="003A416F" w:rsidRPr="003A416F" w14:paraId="67F5C9AF" w14:textId="77777777">
        <w:tc>
          <w:tcPr>
            <w:tcW w:w="0" w:type="auto"/>
            <w:tcMar>
              <w:top w:w="150" w:type="dxa"/>
              <w:left w:w="0" w:type="dxa"/>
              <w:bottom w:w="150" w:type="dxa"/>
              <w:right w:w="240" w:type="dxa"/>
            </w:tcMar>
            <w:vAlign w:val="center"/>
            <w:hideMark/>
          </w:tcPr>
          <w:p w14:paraId="1D8F4CD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2028</w:t>
            </w:r>
          </w:p>
        </w:tc>
        <w:tc>
          <w:tcPr>
            <w:tcW w:w="0" w:type="auto"/>
            <w:tcMar>
              <w:top w:w="150" w:type="dxa"/>
              <w:left w:w="240" w:type="dxa"/>
              <w:bottom w:w="150" w:type="dxa"/>
              <w:right w:w="240" w:type="dxa"/>
            </w:tcMar>
            <w:vAlign w:val="center"/>
            <w:hideMark/>
          </w:tcPr>
          <w:p w14:paraId="1D82876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w:t>
            </w:r>
          </w:p>
        </w:tc>
        <w:tc>
          <w:tcPr>
            <w:tcW w:w="0" w:type="auto"/>
            <w:tcMar>
              <w:top w:w="150" w:type="dxa"/>
              <w:left w:w="240" w:type="dxa"/>
              <w:bottom w:w="150" w:type="dxa"/>
              <w:right w:w="0" w:type="dxa"/>
            </w:tcMar>
            <w:vAlign w:val="center"/>
            <w:hideMark/>
          </w:tcPr>
          <w:p w14:paraId="33914AF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117,5</w:t>
            </w:r>
          </w:p>
        </w:tc>
      </w:tr>
      <w:tr w:rsidR="003A416F" w:rsidRPr="003A416F" w14:paraId="4A1B05B5" w14:textId="77777777">
        <w:tc>
          <w:tcPr>
            <w:tcW w:w="0" w:type="auto"/>
            <w:tcMar>
              <w:top w:w="150" w:type="dxa"/>
              <w:left w:w="0" w:type="dxa"/>
              <w:bottom w:w="150" w:type="dxa"/>
              <w:right w:w="240" w:type="dxa"/>
            </w:tcMar>
            <w:vAlign w:val="center"/>
            <w:hideMark/>
          </w:tcPr>
          <w:p w14:paraId="5B47244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2029</w:t>
            </w:r>
          </w:p>
        </w:tc>
        <w:tc>
          <w:tcPr>
            <w:tcW w:w="0" w:type="auto"/>
            <w:tcMar>
              <w:top w:w="150" w:type="dxa"/>
              <w:left w:w="240" w:type="dxa"/>
              <w:bottom w:w="150" w:type="dxa"/>
              <w:right w:w="240" w:type="dxa"/>
            </w:tcMar>
            <w:vAlign w:val="center"/>
            <w:hideMark/>
          </w:tcPr>
          <w:p w14:paraId="534697B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+3,5</w:t>
            </w:r>
          </w:p>
        </w:tc>
        <w:tc>
          <w:tcPr>
            <w:tcW w:w="0" w:type="auto"/>
            <w:tcMar>
              <w:top w:w="150" w:type="dxa"/>
              <w:left w:w="240" w:type="dxa"/>
              <w:bottom w:w="150" w:type="dxa"/>
              <w:right w:w="0" w:type="dxa"/>
            </w:tcMar>
            <w:vAlign w:val="center"/>
            <w:hideMark/>
          </w:tcPr>
          <w:p w14:paraId="563854D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112,0</w:t>
            </w:r>
          </w:p>
        </w:tc>
      </w:tr>
      <w:tr w:rsidR="003A416F" w:rsidRPr="003A416F" w14:paraId="49FA9DF4" w14:textId="77777777">
        <w:tc>
          <w:tcPr>
            <w:tcW w:w="0" w:type="auto"/>
            <w:tcMar>
              <w:top w:w="150" w:type="dxa"/>
              <w:left w:w="0" w:type="dxa"/>
              <w:bottom w:w="150" w:type="dxa"/>
              <w:right w:w="240" w:type="dxa"/>
            </w:tcMar>
            <w:vAlign w:val="center"/>
            <w:hideMark/>
          </w:tcPr>
          <w:p w14:paraId="09B6CF8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2030</w:t>
            </w:r>
          </w:p>
        </w:tc>
        <w:tc>
          <w:tcPr>
            <w:tcW w:w="0" w:type="auto"/>
            <w:tcMar>
              <w:top w:w="150" w:type="dxa"/>
              <w:left w:w="240" w:type="dxa"/>
              <w:bottom w:w="150" w:type="dxa"/>
              <w:right w:w="240" w:type="dxa"/>
            </w:tcMar>
            <w:vAlign w:val="center"/>
            <w:hideMark/>
          </w:tcPr>
          <w:p w14:paraId="4544B25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+6,0</w:t>
            </w:r>
          </w:p>
        </w:tc>
        <w:tc>
          <w:tcPr>
            <w:tcW w:w="0" w:type="auto"/>
            <w:tcMar>
              <w:top w:w="150" w:type="dxa"/>
              <w:left w:w="240" w:type="dxa"/>
              <w:bottom w:w="150" w:type="dxa"/>
              <w:right w:w="0" w:type="dxa"/>
            </w:tcMar>
            <w:vAlign w:val="center"/>
            <w:hideMark/>
          </w:tcPr>
          <w:p w14:paraId="777B230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104,0</w:t>
            </w:r>
          </w:p>
        </w:tc>
      </w:tr>
      <w:tr w:rsidR="003A416F" w:rsidRPr="003A416F" w14:paraId="0C7E48CE" w14:textId="77777777">
        <w:tc>
          <w:tcPr>
            <w:tcW w:w="0" w:type="auto"/>
            <w:tcMar>
              <w:top w:w="150" w:type="dxa"/>
              <w:left w:w="0" w:type="dxa"/>
              <w:bottom w:w="150" w:type="dxa"/>
              <w:right w:w="240" w:type="dxa"/>
            </w:tcMar>
            <w:vAlign w:val="center"/>
            <w:hideMark/>
          </w:tcPr>
          <w:p w14:paraId="2E8A632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2031</w:t>
            </w:r>
          </w:p>
        </w:tc>
        <w:tc>
          <w:tcPr>
            <w:tcW w:w="0" w:type="auto"/>
            <w:tcMar>
              <w:top w:w="150" w:type="dxa"/>
              <w:left w:w="240" w:type="dxa"/>
              <w:bottom w:w="150" w:type="dxa"/>
              <w:right w:w="240" w:type="dxa"/>
            </w:tcMar>
            <w:vAlign w:val="center"/>
            <w:hideMark/>
          </w:tcPr>
          <w:p w14:paraId="0E0A638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+8,0</w:t>
            </w:r>
          </w:p>
        </w:tc>
        <w:tc>
          <w:tcPr>
            <w:tcW w:w="0" w:type="auto"/>
            <w:tcMar>
              <w:top w:w="150" w:type="dxa"/>
              <w:left w:w="240" w:type="dxa"/>
              <w:bottom w:w="150" w:type="dxa"/>
              <w:right w:w="0" w:type="dxa"/>
            </w:tcMar>
            <w:vAlign w:val="center"/>
            <w:hideMark/>
          </w:tcPr>
          <w:p w14:paraId="3F99DB4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95,0</w:t>
            </w:r>
          </w:p>
        </w:tc>
      </w:tr>
      <w:tr w:rsidR="003A416F" w:rsidRPr="003A416F" w14:paraId="6A155A42" w14:textId="77777777">
        <w:tc>
          <w:tcPr>
            <w:tcW w:w="0" w:type="auto"/>
            <w:tcMar>
              <w:top w:w="150" w:type="dxa"/>
              <w:left w:w="0" w:type="dxa"/>
              <w:bottom w:w="150" w:type="dxa"/>
              <w:right w:w="240" w:type="dxa"/>
            </w:tcMar>
            <w:vAlign w:val="center"/>
            <w:hideMark/>
          </w:tcPr>
          <w:p w14:paraId="63BBACA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2032</w:t>
            </w:r>
          </w:p>
        </w:tc>
        <w:tc>
          <w:tcPr>
            <w:tcW w:w="0" w:type="auto"/>
            <w:tcMar>
              <w:top w:w="150" w:type="dxa"/>
              <w:left w:w="240" w:type="dxa"/>
              <w:bottom w:w="150" w:type="dxa"/>
              <w:right w:w="240" w:type="dxa"/>
            </w:tcMar>
            <w:vAlign w:val="center"/>
            <w:hideMark/>
          </w:tcPr>
          <w:p w14:paraId="31DC384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+10,0</w:t>
            </w:r>
          </w:p>
        </w:tc>
        <w:tc>
          <w:tcPr>
            <w:tcW w:w="0" w:type="auto"/>
            <w:tcMar>
              <w:top w:w="150" w:type="dxa"/>
              <w:left w:w="240" w:type="dxa"/>
              <w:bottom w:w="150" w:type="dxa"/>
              <w:right w:w="0" w:type="dxa"/>
            </w:tcMar>
            <w:vAlign w:val="center"/>
            <w:hideMark/>
          </w:tcPr>
          <w:p w14:paraId="68679D9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82,0</w:t>
            </w:r>
          </w:p>
        </w:tc>
      </w:tr>
    </w:tbl>
    <w:p w14:paraId="50347CDA"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Mesures clés (ajustement de 300 Mds€) :</w:t>
      </w:r>
    </w:p>
    <w:p w14:paraId="08A6A019" w14:textId="77777777" w:rsidR="003A416F" w:rsidRPr="003A416F" w:rsidRDefault="003A416F" w:rsidP="003A416F">
      <w:pPr>
        <w:numPr>
          <w:ilvl w:val="0"/>
          <w:numId w:val="7"/>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Économies (200 Mds€)</w:t>
      </w:r>
      <w:r w:rsidRPr="003A416F">
        <w:rPr>
          <w:rFonts w:ascii="Segoe UI" w:eastAsia="Times New Roman" w:hAnsi="Segoe UI" w:cs="Segoe UI"/>
          <w:color w:val="0F1115"/>
          <w:kern w:val="0"/>
          <w:lang w:eastAsia="fr-FR"/>
          <w14:ligatures w14:val="none"/>
        </w:rPr>
        <w:t> :</w:t>
      </w:r>
    </w:p>
    <w:p w14:paraId="7B589DF2"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Gel des salaires publics, suppression de 200 000 postes, baisse des retraites de 10 %.</w:t>
      </w:r>
    </w:p>
    <w:p w14:paraId="11B035F7"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Désinvestissement massif dans la santé (restriction de l’offre de soins).</w:t>
      </w:r>
    </w:p>
    <w:p w14:paraId="30131189"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Réduction de 30 % des transferts aux collectivités.</w:t>
      </w:r>
    </w:p>
    <w:p w14:paraId="66946F36"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lastRenderedPageBreak/>
        <w:t>Abandon des aides à la transition écologique.</w:t>
      </w:r>
    </w:p>
    <w:p w14:paraId="677B5E87" w14:textId="77777777" w:rsidR="003A416F" w:rsidRPr="003A416F" w:rsidRDefault="003A416F" w:rsidP="003A416F">
      <w:pPr>
        <w:numPr>
          <w:ilvl w:val="0"/>
          <w:numId w:val="7"/>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Recettes nouvelles (100 Mds€)</w:t>
      </w:r>
      <w:r w:rsidRPr="003A416F">
        <w:rPr>
          <w:rFonts w:ascii="Segoe UI" w:eastAsia="Times New Roman" w:hAnsi="Segoe UI" w:cs="Segoe UI"/>
          <w:color w:val="0F1115"/>
          <w:kern w:val="0"/>
          <w:lang w:eastAsia="fr-FR"/>
          <w14:ligatures w14:val="none"/>
        </w:rPr>
        <w:t> :</w:t>
      </w:r>
    </w:p>
    <w:p w14:paraId="02E6612D"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Doublement de la TVA, hausse de l’impôt sur le revenu et sur les sociétés.</w:t>
      </w:r>
    </w:p>
    <w:p w14:paraId="5B2A9FB0" w14:textId="77777777" w:rsidR="003A416F" w:rsidRPr="003A416F" w:rsidRDefault="003A416F" w:rsidP="003A416F">
      <w:pPr>
        <w:numPr>
          <w:ilvl w:val="1"/>
          <w:numId w:val="7"/>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Nationalisation des excédents des entreprises publiques.</w:t>
      </w:r>
    </w:p>
    <w:p w14:paraId="0D3D0074"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Verdict :</w:t>
      </w:r>
      <w:r w:rsidRPr="003A416F">
        <w:rPr>
          <w:rFonts w:ascii="Segoe UI" w:eastAsia="Times New Roman" w:hAnsi="Segoe UI" w:cs="Segoe UI"/>
          <w:color w:val="0F1115"/>
          <w:kern w:val="0"/>
          <w:lang w:eastAsia="fr-FR"/>
          <w14:ligatures w14:val="none"/>
        </w:rPr>
        <w:t> Ajustement mathématiquement possible </w:t>
      </w:r>
      <w:r w:rsidRPr="003A416F">
        <w:rPr>
          <w:rFonts w:ascii="Segoe UI" w:eastAsia="Times New Roman" w:hAnsi="Segoe UI" w:cs="Segoe UI"/>
          <w:b/>
          <w:bCs/>
          <w:color w:val="0F1115"/>
          <w:kern w:val="0"/>
          <w:lang w:eastAsia="fr-FR"/>
          <w14:ligatures w14:val="none"/>
        </w:rPr>
        <w:t>si et seulement si</w:t>
      </w:r>
      <w:r w:rsidRPr="003A416F">
        <w:rPr>
          <w:rFonts w:ascii="Segoe UI" w:eastAsia="Times New Roman" w:hAnsi="Segoe UI" w:cs="Segoe UI"/>
          <w:color w:val="0F1115"/>
          <w:kern w:val="0"/>
          <w:lang w:eastAsia="fr-FR"/>
          <w14:ligatures w14:val="none"/>
        </w:rPr>
        <w:t> la croissance nominale dépasse 15 % (absurde). Ce scénario conduirait à une récession sévère, une hausse du chômage et des troubles sociaux majeurs. </w:t>
      </w:r>
      <w:r w:rsidRPr="003A416F">
        <w:rPr>
          <w:rFonts w:ascii="Segoe UI" w:eastAsia="Times New Roman" w:hAnsi="Segoe UI" w:cs="Segoe UI"/>
          <w:b/>
          <w:bCs/>
          <w:color w:val="0F1115"/>
          <w:kern w:val="0"/>
          <w:lang w:eastAsia="fr-FR"/>
          <w14:ligatures w14:val="none"/>
        </w:rPr>
        <w:t>À rejeter.</w:t>
      </w:r>
    </w:p>
    <w:p w14:paraId="784720A1"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56426571">
          <v:rect id="_x0000_i1039" alt="" style="width:453.6pt;height:.05pt;mso-width-percent:0;mso-height-percent:0;mso-width-percent:0;mso-height-percent:0" o:hralign="center" o:hrstd="t" o:hr="t" fillcolor="#a0a0a0" stroked="f"/>
        </w:pict>
      </w:r>
    </w:p>
    <w:p w14:paraId="5BBBAD0F" w14:textId="77777777" w:rsidR="003A416F" w:rsidRPr="003A416F" w:rsidRDefault="003A416F" w:rsidP="003A416F">
      <w:pPr>
        <w:shd w:val="clear" w:color="auto" w:fill="FFFFFF"/>
        <w:spacing w:before="480" w:after="240" w:line="450" w:lineRule="atLeast"/>
        <w:outlineLvl w:val="2"/>
        <w:rPr>
          <w:rFonts w:ascii="Segoe UI" w:eastAsia="Times New Roman" w:hAnsi="Segoe UI" w:cs="Segoe UI"/>
          <w:b/>
          <w:bCs/>
          <w:color w:val="0F1115"/>
          <w:kern w:val="0"/>
          <w:sz w:val="30"/>
          <w:szCs w:val="30"/>
          <w:lang w:eastAsia="fr-FR"/>
          <w14:ligatures w14:val="none"/>
        </w:rPr>
      </w:pPr>
      <w:r w:rsidRPr="003A416F">
        <w:rPr>
          <w:rFonts w:ascii="Segoe UI" w:eastAsia="Times New Roman" w:hAnsi="Segoe UI" w:cs="Segoe UI"/>
          <w:b/>
          <w:bCs/>
          <w:color w:val="0F1115"/>
          <w:kern w:val="0"/>
          <w:sz w:val="30"/>
          <w:szCs w:val="30"/>
          <w:lang w:eastAsia="fr-FR"/>
          <w14:ligatures w14:val="none"/>
        </w:rPr>
        <w:t>SCÉNARIO 3 – DÉSENDETTEMENT : Dette à 100 % du PIB en 2032</w:t>
      </w:r>
    </w:p>
    <w:p w14:paraId="49EAF9EE"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Hypothèses macroéconomiques :</w:t>
      </w:r>
    </w:p>
    <w:p w14:paraId="5683055D" w14:textId="77777777" w:rsidR="003A416F" w:rsidRPr="003A416F" w:rsidRDefault="003A416F" w:rsidP="003A416F">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Croissance réelle : 1,0 % en 2027-2029, 1,6 % en 2030-2032.</w:t>
      </w:r>
    </w:p>
    <w:p w14:paraId="7B719BD2" w14:textId="77777777" w:rsidR="003A416F" w:rsidRPr="003A416F" w:rsidRDefault="003A416F" w:rsidP="003A416F">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Inflation : 2,0 %.</w:t>
      </w:r>
    </w:p>
    <w:p w14:paraId="5073BBBA" w14:textId="77777777" w:rsidR="003A416F" w:rsidRPr="003A416F" w:rsidRDefault="003A416F" w:rsidP="003A416F">
      <w:pPr>
        <w:numPr>
          <w:ilvl w:val="0"/>
          <w:numId w:val="8"/>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Taux d’intérêt : 3,5 % (effet vertueux du désendettement).</w:t>
      </w:r>
    </w:p>
    <w:p w14:paraId="02F5B2C1"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Trajectoire budgétaire :</w:t>
      </w:r>
    </w:p>
    <w:tbl>
      <w:tblPr>
        <w:tblW w:w="0" w:type="auto"/>
        <w:tblCellMar>
          <w:top w:w="15" w:type="dxa"/>
          <w:left w:w="15" w:type="dxa"/>
          <w:bottom w:w="15" w:type="dxa"/>
          <w:right w:w="15" w:type="dxa"/>
        </w:tblCellMar>
        <w:tblLook w:val="04A0" w:firstRow="1" w:lastRow="0" w:firstColumn="1" w:lastColumn="0" w:noHBand="0" w:noVBand="1"/>
      </w:tblPr>
      <w:tblGrid>
        <w:gridCol w:w="890"/>
        <w:gridCol w:w="2505"/>
        <w:gridCol w:w="1813"/>
        <w:gridCol w:w="3073"/>
      </w:tblGrid>
      <w:tr w:rsidR="003A416F" w:rsidRPr="003A416F" w14:paraId="686507BB" w14:textId="77777777">
        <w:trPr>
          <w:tblHeader/>
        </w:trPr>
        <w:tc>
          <w:tcPr>
            <w:tcW w:w="0" w:type="auto"/>
            <w:tcBorders>
              <w:top w:val="nil"/>
            </w:tcBorders>
            <w:tcMar>
              <w:top w:w="150" w:type="dxa"/>
              <w:left w:w="0" w:type="dxa"/>
              <w:bottom w:w="150" w:type="dxa"/>
              <w:right w:w="240" w:type="dxa"/>
            </w:tcMar>
            <w:vAlign w:val="center"/>
            <w:hideMark/>
          </w:tcPr>
          <w:p w14:paraId="26D743F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Année</w:t>
            </w:r>
          </w:p>
        </w:tc>
        <w:tc>
          <w:tcPr>
            <w:tcW w:w="0" w:type="auto"/>
            <w:tcBorders>
              <w:top w:val="nil"/>
            </w:tcBorders>
            <w:tcMar>
              <w:top w:w="150" w:type="dxa"/>
              <w:left w:w="240" w:type="dxa"/>
              <w:bottom w:w="150" w:type="dxa"/>
              <w:right w:w="240" w:type="dxa"/>
            </w:tcMar>
            <w:vAlign w:val="center"/>
            <w:hideMark/>
          </w:tcPr>
          <w:p w14:paraId="2B57613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Solde public (% PIB)</w:t>
            </w:r>
          </w:p>
        </w:tc>
        <w:tc>
          <w:tcPr>
            <w:tcW w:w="0" w:type="auto"/>
            <w:tcBorders>
              <w:top w:val="nil"/>
            </w:tcBorders>
            <w:tcMar>
              <w:top w:w="150" w:type="dxa"/>
              <w:left w:w="240" w:type="dxa"/>
              <w:bottom w:w="150" w:type="dxa"/>
              <w:right w:w="240" w:type="dxa"/>
            </w:tcMar>
            <w:vAlign w:val="center"/>
            <w:hideMark/>
          </w:tcPr>
          <w:p w14:paraId="5239E0A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Dette (% PIB)</w:t>
            </w:r>
          </w:p>
        </w:tc>
        <w:tc>
          <w:tcPr>
            <w:tcW w:w="0" w:type="auto"/>
            <w:tcBorders>
              <w:top w:val="nil"/>
            </w:tcBorders>
            <w:tcMar>
              <w:top w:w="150" w:type="dxa"/>
              <w:left w:w="240" w:type="dxa"/>
              <w:bottom w:w="150" w:type="dxa"/>
              <w:right w:w="240" w:type="dxa"/>
            </w:tcMar>
            <w:vAlign w:val="center"/>
            <w:hideMark/>
          </w:tcPr>
          <w:p w14:paraId="116B9CA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Excédent primaire (% PIB)</w:t>
            </w:r>
          </w:p>
        </w:tc>
      </w:tr>
      <w:tr w:rsidR="003A416F" w:rsidRPr="003A416F" w14:paraId="75136324" w14:textId="77777777">
        <w:tc>
          <w:tcPr>
            <w:tcW w:w="0" w:type="auto"/>
            <w:tcMar>
              <w:top w:w="150" w:type="dxa"/>
              <w:left w:w="0" w:type="dxa"/>
              <w:bottom w:w="150" w:type="dxa"/>
              <w:right w:w="240" w:type="dxa"/>
            </w:tcMar>
            <w:vAlign w:val="center"/>
            <w:hideMark/>
          </w:tcPr>
          <w:p w14:paraId="06E68E1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2026</w:t>
            </w:r>
          </w:p>
        </w:tc>
        <w:tc>
          <w:tcPr>
            <w:tcW w:w="0" w:type="auto"/>
            <w:tcMar>
              <w:top w:w="150" w:type="dxa"/>
              <w:left w:w="240" w:type="dxa"/>
              <w:bottom w:w="150" w:type="dxa"/>
              <w:right w:w="240" w:type="dxa"/>
            </w:tcMar>
            <w:vAlign w:val="center"/>
            <w:hideMark/>
          </w:tcPr>
          <w:p w14:paraId="55E4E2B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w:t>
            </w:r>
          </w:p>
        </w:tc>
        <w:tc>
          <w:tcPr>
            <w:tcW w:w="0" w:type="auto"/>
            <w:tcMar>
              <w:top w:w="150" w:type="dxa"/>
              <w:left w:w="240" w:type="dxa"/>
              <w:bottom w:w="150" w:type="dxa"/>
              <w:right w:w="240" w:type="dxa"/>
            </w:tcMar>
            <w:vAlign w:val="center"/>
            <w:hideMark/>
          </w:tcPr>
          <w:p w14:paraId="48D962D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117,6</w:t>
            </w:r>
          </w:p>
        </w:tc>
        <w:tc>
          <w:tcPr>
            <w:tcW w:w="0" w:type="auto"/>
            <w:tcMar>
              <w:top w:w="150" w:type="dxa"/>
              <w:left w:w="240" w:type="dxa"/>
              <w:bottom w:w="150" w:type="dxa"/>
              <w:right w:w="0" w:type="dxa"/>
            </w:tcMar>
            <w:vAlign w:val="center"/>
            <w:hideMark/>
          </w:tcPr>
          <w:p w14:paraId="56B190F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-1,5</w:t>
            </w:r>
          </w:p>
        </w:tc>
      </w:tr>
      <w:tr w:rsidR="003A416F" w:rsidRPr="003A416F" w14:paraId="19B98B7B" w14:textId="77777777">
        <w:tc>
          <w:tcPr>
            <w:tcW w:w="0" w:type="auto"/>
            <w:tcMar>
              <w:top w:w="150" w:type="dxa"/>
              <w:left w:w="0" w:type="dxa"/>
              <w:bottom w:w="150" w:type="dxa"/>
              <w:right w:w="240" w:type="dxa"/>
            </w:tcMar>
            <w:vAlign w:val="center"/>
            <w:hideMark/>
          </w:tcPr>
          <w:p w14:paraId="03CF4F3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2027</w:t>
            </w:r>
          </w:p>
        </w:tc>
        <w:tc>
          <w:tcPr>
            <w:tcW w:w="0" w:type="auto"/>
            <w:tcMar>
              <w:top w:w="150" w:type="dxa"/>
              <w:left w:w="240" w:type="dxa"/>
              <w:bottom w:w="150" w:type="dxa"/>
              <w:right w:w="240" w:type="dxa"/>
            </w:tcMar>
            <w:vAlign w:val="center"/>
            <w:hideMark/>
          </w:tcPr>
          <w:p w14:paraId="431FDE6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-3,5</w:t>
            </w:r>
          </w:p>
        </w:tc>
        <w:tc>
          <w:tcPr>
            <w:tcW w:w="0" w:type="auto"/>
            <w:tcMar>
              <w:top w:w="150" w:type="dxa"/>
              <w:left w:w="240" w:type="dxa"/>
              <w:bottom w:w="150" w:type="dxa"/>
              <w:right w:w="240" w:type="dxa"/>
            </w:tcMar>
            <w:vAlign w:val="center"/>
            <w:hideMark/>
          </w:tcPr>
          <w:p w14:paraId="38A4104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118,0</w:t>
            </w:r>
          </w:p>
        </w:tc>
        <w:tc>
          <w:tcPr>
            <w:tcW w:w="0" w:type="auto"/>
            <w:tcMar>
              <w:top w:w="150" w:type="dxa"/>
              <w:left w:w="240" w:type="dxa"/>
              <w:bottom w:w="150" w:type="dxa"/>
              <w:right w:w="0" w:type="dxa"/>
            </w:tcMar>
            <w:vAlign w:val="center"/>
            <w:hideMark/>
          </w:tcPr>
          <w:p w14:paraId="09122F9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-0,5</w:t>
            </w:r>
          </w:p>
        </w:tc>
      </w:tr>
      <w:tr w:rsidR="003A416F" w:rsidRPr="003A416F" w14:paraId="173BEEC8" w14:textId="77777777">
        <w:tc>
          <w:tcPr>
            <w:tcW w:w="0" w:type="auto"/>
            <w:tcMar>
              <w:top w:w="150" w:type="dxa"/>
              <w:left w:w="0" w:type="dxa"/>
              <w:bottom w:w="150" w:type="dxa"/>
              <w:right w:w="240" w:type="dxa"/>
            </w:tcMar>
            <w:vAlign w:val="center"/>
            <w:hideMark/>
          </w:tcPr>
          <w:p w14:paraId="7E28A14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2028</w:t>
            </w:r>
          </w:p>
        </w:tc>
        <w:tc>
          <w:tcPr>
            <w:tcW w:w="0" w:type="auto"/>
            <w:tcMar>
              <w:top w:w="150" w:type="dxa"/>
              <w:left w:w="240" w:type="dxa"/>
              <w:bottom w:w="150" w:type="dxa"/>
              <w:right w:w="240" w:type="dxa"/>
            </w:tcMar>
            <w:vAlign w:val="center"/>
            <w:hideMark/>
          </w:tcPr>
          <w:p w14:paraId="77C1334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w:t>
            </w:r>
          </w:p>
        </w:tc>
        <w:tc>
          <w:tcPr>
            <w:tcW w:w="0" w:type="auto"/>
            <w:tcMar>
              <w:top w:w="150" w:type="dxa"/>
              <w:left w:w="240" w:type="dxa"/>
              <w:bottom w:w="150" w:type="dxa"/>
              <w:right w:w="240" w:type="dxa"/>
            </w:tcMar>
            <w:vAlign w:val="center"/>
            <w:hideMark/>
          </w:tcPr>
          <w:p w14:paraId="49DA2ED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115,5</w:t>
            </w:r>
          </w:p>
        </w:tc>
        <w:tc>
          <w:tcPr>
            <w:tcW w:w="0" w:type="auto"/>
            <w:tcMar>
              <w:top w:w="150" w:type="dxa"/>
              <w:left w:w="240" w:type="dxa"/>
              <w:bottom w:w="150" w:type="dxa"/>
              <w:right w:w="0" w:type="dxa"/>
            </w:tcMar>
            <w:vAlign w:val="center"/>
            <w:hideMark/>
          </w:tcPr>
          <w:p w14:paraId="524409E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0,5</w:t>
            </w:r>
          </w:p>
        </w:tc>
      </w:tr>
      <w:tr w:rsidR="003A416F" w:rsidRPr="003A416F" w14:paraId="16F4B6CE" w14:textId="77777777">
        <w:tc>
          <w:tcPr>
            <w:tcW w:w="0" w:type="auto"/>
            <w:tcMar>
              <w:top w:w="150" w:type="dxa"/>
              <w:left w:w="0" w:type="dxa"/>
              <w:bottom w:w="150" w:type="dxa"/>
              <w:right w:w="240" w:type="dxa"/>
            </w:tcMar>
            <w:vAlign w:val="center"/>
            <w:hideMark/>
          </w:tcPr>
          <w:p w14:paraId="714433A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2029</w:t>
            </w:r>
          </w:p>
        </w:tc>
        <w:tc>
          <w:tcPr>
            <w:tcW w:w="0" w:type="auto"/>
            <w:tcMar>
              <w:top w:w="150" w:type="dxa"/>
              <w:left w:w="240" w:type="dxa"/>
              <w:bottom w:w="150" w:type="dxa"/>
              <w:right w:w="240" w:type="dxa"/>
            </w:tcMar>
            <w:vAlign w:val="center"/>
            <w:hideMark/>
          </w:tcPr>
          <w:p w14:paraId="607EE5C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-0,5</w:t>
            </w:r>
          </w:p>
        </w:tc>
        <w:tc>
          <w:tcPr>
            <w:tcW w:w="0" w:type="auto"/>
            <w:tcMar>
              <w:top w:w="150" w:type="dxa"/>
              <w:left w:w="240" w:type="dxa"/>
              <w:bottom w:w="150" w:type="dxa"/>
              <w:right w:w="240" w:type="dxa"/>
            </w:tcMar>
            <w:vAlign w:val="center"/>
            <w:hideMark/>
          </w:tcPr>
          <w:p w14:paraId="7F413DF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110,0</w:t>
            </w:r>
          </w:p>
        </w:tc>
        <w:tc>
          <w:tcPr>
            <w:tcW w:w="0" w:type="auto"/>
            <w:tcMar>
              <w:top w:w="150" w:type="dxa"/>
              <w:left w:w="240" w:type="dxa"/>
              <w:bottom w:w="150" w:type="dxa"/>
              <w:right w:w="0" w:type="dxa"/>
            </w:tcMar>
            <w:vAlign w:val="center"/>
            <w:hideMark/>
          </w:tcPr>
          <w:p w14:paraId="04F3C5B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1,5</w:t>
            </w:r>
          </w:p>
        </w:tc>
      </w:tr>
      <w:tr w:rsidR="003A416F" w:rsidRPr="003A416F" w14:paraId="5A861686" w14:textId="77777777">
        <w:tc>
          <w:tcPr>
            <w:tcW w:w="0" w:type="auto"/>
            <w:tcMar>
              <w:top w:w="150" w:type="dxa"/>
              <w:left w:w="0" w:type="dxa"/>
              <w:bottom w:w="150" w:type="dxa"/>
              <w:right w:w="240" w:type="dxa"/>
            </w:tcMar>
            <w:vAlign w:val="center"/>
            <w:hideMark/>
          </w:tcPr>
          <w:p w14:paraId="4515AE9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2030</w:t>
            </w:r>
          </w:p>
        </w:tc>
        <w:tc>
          <w:tcPr>
            <w:tcW w:w="0" w:type="auto"/>
            <w:tcMar>
              <w:top w:w="150" w:type="dxa"/>
              <w:left w:w="240" w:type="dxa"/>
              <w:bottom w:w="150" w:type="dxa"/>
              <w:right w:w="240" w:type="dxa"/>
            </w:tcMar>
            <w:vAlign w:val="center"/>
            <w:hideMark/>
          </w:tcPr>
          <w:p w14:paraId="6BD7A1B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w:t>
            </w:r>
          </w:p>
        </w:tc>
        <w:tc>
          <w:tcPr>
            <w:tcW w:w="0" w:type="auto"/>
            <w:tcMar>
              <w:top w:w="150" w:type="dxa"/>
              <w:left w:w="240" w:type="dxa"/>
              <w:bottom w:w="150" w:type="dxa"/>
              <w:right w:w="240" w:type="dxa"/>
            </w:tcMar>
            <w:vAlign w:val="center"/>
            <w:hideMark/>
          </w:tcPr>
          <w:p w14:paraId="4A63883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106,5</w:t>
            </w:r>
          </w:p>
        </w:tc>
        <w:tc>
          <w:tcPr>
            <w:tcW w:w="0" w:type="auto"/>
            <w:tcMar>
              <w:top w:w="150" w:type="dxa"/>
              <w:left w:w="240" w:type="dxa"/>
              <w:bottom w:w="150" w:type="dxa"/>
              <w:right w:w="0" w:type="dxa"/>
            </w:tcMar>
            <w:vAlign w:val="center"/>
            <w:hideMark/>
          </w:tcPr>
          <w:p w14:paraId="676CF87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2,5</w:t>
            </w:r>
          </w:p>
        </w:tc>
      </w:tr>
      <w:tr w:rsidR="003A416F" w:rsidRPr="003A416F" w14:paraId="31158CCE" w14:textId="77777777">
        <w:tc>
          <w:tcPr>
            <w:tcW w:w="0" w:type="auto"/>
            <w:tcMar>
              <w:top w:w="150" w:type="dxa"/>
              <w:left w:w="0" w:type="dxa"/>
              <w:bottom w:w="150" w:type="dxa"/>
              <w:right w:w="240" w:type="dxa"/>
            </w:tcMar>
            <w:vAlign w:val="center"/>
            <w:hideMark/>
          </w:tcPr>
          <w:p w14:paraId="651AEC3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2031</w:t>
            </w:r>
          </w:p>
        </w:tc>
        <w:tc>
          <w:tcPr>
            <w:tcW w:w="0" w:type="auto"/>
            <w:tcMar>
              <w:top w:w="150" w:type="dxa"/>
              <w:left w:w="240" w:type="dxa"/>
              <w:bottom w:w="150" w:type="dxa"/>
              <w:right w:w="240" w:type="dxa"/>
            </w:tcMar>
            <w:vAlign w:val="center"/>
            <w:hideMark/>
          </w:tcPr>
          <w:p w14:paraId="54E4FC8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w:t>
            </w:r>
          </w:p>
        </w:tc>
        <w:tc>
          <w:tcPr>
            <w:tcW w:w="0" w:type="auto"/>
            <w:tcMar>
              <w:top w:w="150" w:type="dxa"/>
              <w:left w:w="240" w:type="dxa"/>
              <w:bottom w:w="150" w:type="dxa"/>
              <w:right w:w="240" w:type="dxa"/>
            </w:tcMar>
            <w:vAlign w:val="center"/>
            <w:hideMark/>
          </w:tcPr>
          <w:p w14:paraId="6FB7CAB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103,0</w:t>
            </w:r>
          </w:p>
        </w:tc>
        <w:tc>
          <w:tcPr>
            <w:tcW w:w="0" w:type="auto"/>
            <w:tcMar>
              <w:top w:w="150" w:type="dxa"/>
              <w:left w:w="240" w:type="dxa"/>
              <w:bottom w:w="150" w:type="dxa"/>
              <w:right w:w="0" w:type="dxa"/>
            </w:tcMar>
            <w:vAlign w:val="center"/>
            <w:hideMark/>
          </w:tcPr>
          <w:p w14:paraId="78E9816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3,5</w:t>
            </w:r>
          </w:p>
        </w:tc>
      </w:tr>
      <w:tr w:rsidR="003A416F" w:rsidRPr="003A416F" w14:paraId="2A5B6F16" w14:textId="77777777">
        <w:tc>
          <w:tcPr>
            <w:tcW w:w="0" w:type="auto"/>
            <w:tcMar>
              <w:top w:w="150" w:type="dxa"/>
              <w:left w:w="0" w:type="dxa"/>
              <w:bottom w:w="150" w:type="dxa"/>
              <w:right w:w="240" w:type="dxa"/>
            </w:tcMar>
            <w:vAlign w:val="center"/>
            <w:hideMark/>
          </w:tcPr>
          <w:p w14:paraId="22C78C9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2032</w:t>
            </w:r>
          </w:p>
        </w:tc>
        <w:tc>
          <w:tcPr>
            <w:tcW w:w="0" w:type="auto"/>
            <w:tcMar>
              <w:top w:w="150" w:type="dxa"/>
              <w:left w:w="240" w:type="dxa"/>
              <w:bottom w:w="150" w:type="dxa"/>
              <w:right w:w="240" w:type="dxa"/>
            </w:tcMar>
            <w:vAlign w:val="center"/>
            <w:hideMark/>
          </w:tcPr>
          <w:p w14:paraId="5C69107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+3,0</w:t>
            </w:r>
          </w:p>
        </w:tc>
        <w:tc>
          <w:tcPr>
            <w:tcW w:w="0" w:type="auto"/>
            <w:tcMar>
              <w:top w:w="150" w:type="dxa"/>
              <w:left w:w="240" w:type="dxa"/>
              <w:bottom w:w="150" w:type="dxa"/>
              <w:right w:w="240" w:type="dxa"/>
            </w:tcMar>
            <w:vAlign w:val="center"/>
            <w:hideMark/>
          </w:tcPr>
          <w:p w14:paraId="45AA558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100,0</w:t>
            </w:r>
          </w:p>
        </w:tc>
        <w:tc>
          <w:tcPr>
            <w:tcW w:w="0" w:type="auto"/>
            <w:tcMar>
              <w:top w:w="150" w:type="dxa"/>
              <w:left w:w="240" w:type="dxa"/>
              <w:bottom w:w="150" w:type="dxa"/>
              <w:right w:w="0" w:type="dxa"/>
            </w:tcMar>
            <w:vAlign w:val="center"/>
            <w:hideMark/>
          </w:tcPr>
          <w:p w14:paraId="329F751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4,5</w:t>
            </w:r>
          </w:p>
        </w:tc>
      </w:tr>
    </w:tbl>
    <w:p w14:paraId="10C16B4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Mesures clés (ajustement de 200 Mds€) :</w:t>
      </w:r>
    </w:p>
    <w:p w14:paraId="673D0C75" w14:textId="77777777" w:rsidR="003A416F" w:rsidRPr="003A416F" w:rsidRDefault="003A416F" w:rsidP="003A416F">
      <w:pPr>
        <w:numPr>
          <w:ilvl w:val="0"/>
          <w:numId w:val="9"/>
        </w:numPr>
        <w:shd w:val="clear" w:color="auto" w:fill="FFFFFF"/>
        <w:spacing w:after="12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lastRenderedPageBreak/>
        <w:t>Reprend 80 % des mesures du Scénario 1, avec un effort supplémentaire de 50 Mds€ :</w:t>
      </w:r>
    </w:p>
    <w:p w14:paraId="2C13CEE7" w14:textId="77777777" w:rsidR="003A416F" w:rsidRPr="003A416F" w:rsidRDefault="003A416F" w:rsidP="003A416F">
      <w:pPr>
        <w:numPr>
          <w:ilvl w:val="1"/>
          <w:numId w:val="9"/>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Accélération de la réforme des retraites (66 ans) : +10 Mds€.</w:t>
      </w:r>
    </w:p>
    <w:p w14:paraId="0EF54B10" w14:textId="77777777" w:rsidR="003A416F" w:rsidRPr="003A416F" w:rsidRDefault="003A416F" w:rsidP="003A416F">
      <w:pPr>
        <w:numPr>
          <w:ilvl w:val="1"/>
          <w:numId w:val="9"/>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Baisse de 10 % des dépenses de fonctionnement des ministères.</w:t>
      </w:r>
    </w:p>
    <w:p w14:paraId="734D61CD" w14:textId="77777777" w:rsidR="003A416F" w:rsidRPr="003A416F" w:rsidRDefault="003A416F" w:rsidP="003A416F">
      <w:pPr>
        <w:numPr>
          <w:ilvl w:val="1"/>
          <w:numId w:val="9"/>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Cession d’actifs publics stratégiques (participations dans des entreprises) pour 20 Mds€ (en distinguant l’effet sur la dette nette).</w:t>
      </w:r>
    </w:p>
    <w:p w14:paraId="7AADF021"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Verdict :</w:t>
      </w:r>
      <w:r w:rsidRPr="003A416F">
        <w:rPr>
          <w:rFonts w:ascii="Segoe UI" w:eastAsia="Times New Roman" w:hAnsi="Segoe UI" w:cs="Segoe UI"/>
          <w:color w:val="0F1115"/>
          <w:kern w:val="0"/>
          <w:lang w:eastAsia="fr-FR"/>
          <w14:ligatures w14:val="none"/>
        </w:rPr>
        <w:t> Atteignable mais exige une discipline de fer et une croissance effective. L’excédent annuel moyen doit être de ~2 % du PIB, et la croissance nominale contribue à 60 % de la réduction du ratio de dette. </w:t>
      </w:r>
      <w:r w:rsidRPr="003A416F">
        <w:rPr>
          <w:rFonts w:ascii="Segoe UI" w:eastAsia="Times New Roman" w:hAnsi="Segoe UI" w:cs="Segoe UI"/>
          <w:b/>
          <w:bCs/>
          <w:color w:val="0F1115"/>
          <w:kern w:val="0"/>
          <w:lang w:eastAsia="fr-FR"/>
          <w14:ligatures w14:val="none"/>
        </w:rPr>
        <w:t>Défi politique et social élevé.</w:t>
      </w:r>
    </w:p>
    <w:p w14:paraId="7DE20929" w14:textId="77777777" w:rsidR="003A416F" w:rsidRPr="003A416F" w:rsidRDefault="003A416F" w:rsidP="003A416F">
      <w:pPr>
        <w:spacing w:before="480" w:after="480" w:line="240" w:lineRule="auto"/>
        <w:rPr>
          <w:rFonts w:ascii="Segoe UI" w:eastAsia="Times New Roman" w:hAnsi="Segoe UI" w:cs="Segoe UI"/>
          <w:kern w:val="0"/>
          <w:lang w:eastAsia="fr-FR"/>
          <w14:ligatures w14:val="none"/>
        </w:rPr>
      </w:pPr>
      <w:r w:rsidRPr="003A416F">
        <w:rPr>
          <w:rFonts w:ascii="Times New Roman" w:eastAsia="Times New Roman" w:hAnsi="Times New Roman" w:cs="Times New Roman"/>
          <w:kern w:val="0"/>
          <w:lang w:eastAsia="fr-FR"/>
          <w14:ligatures w14:val="none"/>
        </w:rPr>
        <w:pict w14:anchorId="1A0B828D">
          <v:rect id="_x0000_i1031" style="width:0;height:.75pt" o:hralign="center" o:hrstd="t" o:hr="t" fillcolor="#a0a0a0" stroked="f"/>
        </w:pict>
      </w:r>
    </w:p>
    <w:p w14:paraId="63866EBE"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4. LES 10 RÉFORMES STRUCTURELLES COMMUNES (Scénarios 1 &amp; 3)</w:t>
      </w:r>
    </w:p>
    <w:p w14:paraId="37534AD0"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Réforme des retraites</w:t>
      </w:r>
      <w:r w:rsidRPr="003A416F">
        <w:rPr>
          <w:rFonts w:ascii="Segoe UI" w:eastAsia="Times New Roman" w:hAnsi="Segoe UI" w:cs="Segoe UI"/>
          <w:color w:val="0F1115"/>
          <w:kern w:val="0"/>
          <w:lang w:eastAsia="fr-FR"/>
          <w14:ligatures w14:val="none"/>
        </w:rPr>
        <w:t> : Âge légal à 65 ans, convergence des régimes, indexation sur l’inflation.</w:t>
      </w:r>
    </w:p>
    <w:p w14:paraId="1169D499"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Transformation de l’hôpital</w:t>
      </w:r>
      <w:r w:rsidRPr="003A416F">
        <w:rPr>
          <w:rFonts w:ascii="Segoe UI" w:eastAsia="Times New Roman" w:hAnsi="Segoe UI" w:cs="Segoe UI"/>
          <w:color w:val="0F1115"/>
          <w:kern w:val="0"/>
          <w:lang w:eastAsia="fr-FR"/>
          <w14:ligatures w14:val="none"/>
        </w:rPr>
        <w:t> : Télémédecine, IA pour le diagnostic, regroupement de sites.</w:t>
      </w:r>
    </w:p>
    <w:p w14:paraId="240DAC8D"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État plateforme</w:t>
      </w:r>
      <w:r w:rsidRPr="003A416F">
        <w:rPr>
          <w:rFonts w:ascii="Segoe UI" w:eastAsia="Times New Roman" w:hAnsi="Segoe UI" w:cs="Segoe UI"/>
          <w:color w:val="0F1115"/>
          <w:kern w:val="0"/>
          <w:lang w:eastAsia="fr-FR"/>
          <w14:ligatures w14:val="none"/>
        </w:rPr>
        <w:t> : Dématérialisation à 100 %, suppression de 50 % des agences inutiles.</w:t>
      </w:r>
    </w:p>
    <w:p w14:paraId="3BA17530"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Collectivités territoriales</w:t>
      </w:r>
      <w:r w:rsidRPr="003A416F">
        <w:rPr>
          <w:rFonts w:ascii="Segoe UI" w:eastAsia="Times New Roman" w:hAnsi="Segoe UI" w:cs="Segoe UI"/>
          <w:color w:val="0F1115"/>
          <w:kern w:val="0"/>
          <w:lang w:eastAsia="fr-FR"/>
          <w14:ligatures w14:val="none"/>
        </w:rPr>
        <w:t> : Fusion des régions et départements, suppression de la clause de compétence générale.</w:t>
      </w:r>
    </w:p>
    <w:p w14:paraId="3C1995B8"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Assurance chômage</w:t>
      </w:r>
      <w:r w:rsidRPr="003A416F">
        <w:rPr>
          <w:rFonts w:ascii="Segoe UI" w:eastAsia="Times New Roman" w:hAnsi="Segoe UI" w:cs="Segoe UI"/>
          <w:color w:val="0F1115"/>
          <w:kern w:val="0"/>
          <w:lang w:eastAsia="fr-FR"/>
          <w14:ligatures w14:val="none"/>
        </w:rPr>
        <w:t> : Dégression des allocations au-delà de 12 mois, renforcement du contrôle.</w:t>
      </w:r>
    </w:p>
    <w:p w14:paraId="3C91812C"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Aides aux entreprises</w:t>
      </w:r>
      <w:r w:rsidRPr="003A416F">
        <w:rPr>
          <w:rFonts w:ascii="Segoe UI" w:eastAsia="Times New Roman" w:hAnsi="Segoe UI" w:cs="Segoe UI"/>
          <w:color w:val="0F1115"/>
          <w:kern w:val="0"/>
          <w:lang w:eastAsia="fr-FR"/>
          <w14:ligatures w14:val="none"/>
        </w:rPr>
        <w:t> : Focalisation sur la R&amp;D et la transition verte ; suppression du CICE.</w:t>
      </w:r>
    </w:p>
    <w:p w14:paraId="351539D8"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Éducation prioritaire</w:t>
      </w:r>
      <w:r w:rsidRPr="003A416F">
        <w:rPr>
          <w:rFonts w:ascii="Segoe UI" w:eastAsia="Times New Roman" w:hAnsi="Segoe UI" w:cs="Segoe UI"/>
          <w:color w:val="0F1115"/>
          <w:kern w:val="0"/>
          <w:lang w:eastAsia="fr-FR"/>
          <w14:ligatures w14:val="none"/>
        </w:rPr>
        <w:t> : Renforcement des REP+, allègement des programmes, numérique éducatif.</w:t>
      </w:r>
    </w:p>
    <w:p w14:paraId="0A58EA8A"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Justice et sécurité</w:t>
      </w:r>
      <w:r w:rsidRPr="003A416F">
        <w:rPr>
          <w:rFonts w:ascii="Segoe UI" w:eastAsia="Times New Roman" w:hAnsi="Segoe UI" w:cs="Segoe UI"/>
          <w:color w:val="0F1115"/>
          <w:kern w:val="0"/>
          <w:lang w:eastAsia="fr-FR"/>
          <w14:ligatures w14:val="none"/>
        </w:rPr>
        <w:t> : Numérisation des procédures, recrutement ciblé de greffiers.</w:t>
      </w:r>
    </w:p>
    <w:p w14:paraId="102A6629"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Fiscalité écologique</w:t>
      </w:r>
      <w:r w:rsidRPr="003A416F">
        <w:rPr>
          <w:rFonts w:ascii="Segoe UI" w:eastAsia="Times New Roman" w:hAnsi="Segoe UI" w:cs="Segoe UI"/>
          <w:color w:val="0F1115"/>
          <w:kern w:val="0"/>
          <w:lang w:eastAsia="fr-FR"/>
          <w14:ligatures w14:val="none"/>
        </w:rPr>
        <w:t> : Taxe carbone progressive avec compensation pour les ménages modestes.</w:t>
      </w:r>
    </w:p>
    <w:p w14:paraId="459DE4F2" w14:textId="77777777" w:rsidR="003A416F" w:rsidRPr="003A416F" w:rsidRDefault="003A416F" w:rsidP="003A416F">
      <w:pPr>
        <w:numPr>
          <w:ilvl w:val="0"/>
          <w:numId w:val="10"/>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Simplification administrative</w:t>
      </w:r>
      <w:r w:rsidRPr="003A416F">
        <w:rPr>
          <w:rFonts w:ascii="Segoe UI" w:eastAsia="Times New Roman" w:hAnsi="Segoe UI" w:cs="Segoe UI"/>
          <w:color w:val="0F1115"/>
          <w:kern w:val="0"/>
          <w:lang w:eastAsia="fr-FR"/>
          <w14:ligatures w14:val="none"/>
        </w:rPr>
        <w:t> : "Silence vaut accord" généralisé, suppression de 30 % des normes.</w:t>
      </w:r>
    </w:p>
    <w:p w14:paraId="5564FEA4" w14:textId="77777777" w:rsidR="003A416F" w:rsidRPr="003A416F" w:rsidRDefault="003A416F" w:rsidP="003A416F">
      <w:pPr>
        <w:spacing w:before="480" w:after="480" w:line="240" w:lineRule="auto"/>
        <w:rPr>
          <w:rFonts w:ascii="Segoe UI" w:eastAsia="Times New Roman" w:hAnsi="Segoe UI" w:cs="Segoe UI"/>
          <w:kern w:val="0"/>
          <w:lang w:eastAsia="fr-FR"/>
          <w14:ligatures w14:val="none"/>
        </w:rPr>
      </w:pPr>
      <w:r w:rsidRPr="003A416F">
        <w:rPr>
          <w:rFonts w:ascii="Times New Roman" w:eastAsia="Times New Roman" w:hAnsi="Times New Roman" w:cs="Times New Roman"/>
          <w:kern w:val="0"/>
          <w:lang w:eastAsia="fr-FR"/>
          <w14:ligatures w14:val="none"/>
        </w:rPr>
        <w:pict w14:anchorId="469C0C4D">
          <v:rect id="_x0000_i1032" style="width:0;height:.75pt" o:hralign="center" o:hrstd="t" o:hr="t" fillcolor="#a0a0a0" stroked="f"/>
        </w:pict>
      </w:r>
    </w:p>
    <w:p w14:paraId="1E89B48B"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5. PLAN D’ACTION SÉQUENCÉ (Scénario 1)</w:t>
      </w:r>
    </w:p>
    <w:tbl>
      <w:tblPr>
        <w:tblW w:w="0" w:type="auto"/>
        <w:tblCellMar>
          <w:top w:w="15" w:type="dxa"/>
          <w:left w:w="15" w:type="dxa"/>
          <w:bottom w:w="15" w:type="dxa"/>
          <w:right w:w="15" w:type="dxa"/>
        </w:tblCellMar>
        <w:tblLook w:val="04A0" w:firstRow="1" w:lastRow="0" w:firstColumn="1" w:lastColumn="0" w:noHBand="0" w:noVBand="1"/>
      </w:tblPr>
      <w:tblGrid>
        <w:gridCol w:w="1059"/>
        <w:gridCol w:w="2672"/>
        <w:gridCol w:w="1672"/>
        <w:gridCol w:w="1914"/>
        <w:gridCol w:w="1755"/>
      </w:tblGrid>
      <w:tr w:rsidR="003A416F" w:rsidRPr="003A416F" w14:paraId="39DAC003" w14:textId="77777777">
        <w:trPr>
          <w:tblHeader/>
        </w:trPr>
        <w:tc>
          <w:tcPr>
            <w:tcW w:w="0" w:type="auto"/>
            <w:tcBorders>
              <w:top w:val="nil"/>
            </w:tcBorders>
            <w:tcMar>
              <w:top w:w="150" w:type="dxa"/>
              <w:left w:w="0" w:type="dxa"/>
              <w:bottom w:w="150" w:type="dxa"/>
              <w:right w:w="240" w:type="dxa"/>
            </w:tcMar>
            <w:vAlign w:val="center"/>
            <w:hideMark/>
          </w:tcPr>
          <w:p w14:paraId="23DFFF9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lastRenderedPageBreak/>
              <w:t>Période</w:t>
            </w:r>
          </w:p>
        </w:tc>
        <w:tc>
          <w:tcPr>
            <w:tcW w:w="0" w:type="auto"/>
            <w:tcBorders>
              <w:top w:val="nil"/>
            </w:tcBorders>
            <w:tcMar>
              <w:top w:w="150" w:type="dxa"/>
              <w:left w:w="240" w:type="dxa"/>
              <w:bottom w:w="150" w:type="dxa"/>
              <w:right w:w="240" w:type="dxa"/>
            </w:tcMar>
            <w:vAlign w:val="center"/>
            <w:hideMark/>
          </w:tcPr>
          <w:p w14:paraId="635D9F3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Mesure</w:t>
            </w:r>
          </w:p>
        </w:tc>
        <w:tc>
          <w:tcPr>
            <w:tcW w:w="0" w:type="auto"/>
            <w:tcBorders>
              <w:top w:val="nil"/>
            </w:tcBorders>
            <w:tcMar>
              <w:top w:w="150" w:type="dxa"/>
              <w:left w:w="240" w:type="dxa"/>
              <w:bottom w:w="150" w:type="dxa"/>
              <w:right w:w="240" w:type="dxa"/>
            </w:tcMar>
            <w:vAlign w:val="center"/>
            <w:hideMark/>
          </w:tcPr>
          <w:p w14:paraId="19B307B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Instrument</w:t>
            </w:r>
          </w:p>
        </w:tc>
        <w:tc>
          <w:tcPr>
            <w:tcW w:w="0" w:type="auto"/>
            <w:tcBorders>
              <w:top w:val="nil"/>
            </w:tcBorders>
            <w:tcMar>
              <w:top w:w="150" w:type="dxa"/>
              <w:left w:w="240" w:type="dxa"/>
              <w:bottom w:w="150" w:type="dxa"/>
              <w:right w:w="240" w:type="dxa"/>
            </w:tcMar>
            <w:vAlign w:val="center"/>
            <w:hideMark/>
          </w:tcPr>
          <w:p w14:paraId="043C749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Responsable</w:t>
            </w:r>
          </w:p>
        </w:tc>
        <w:tc>
          <w:tcPr>
            <w:tcW w:w="0" w:type="auto"/>
            <w:tcBorders>
              <w:top w:val="nil"/>
            </w:tcBorders>
            <w:tcMar>
              <w:top w:w="150" w:type="dxa"/>
              <w:left w:w="240" w:type="dxa"/>
              <w:bottom w:w="150" w:type="dxa"/>
              <w:right w:w="240" w:type="dxa"/>
            </w:tcMar>
            <w:vAlign w:val="center"/>
            <w:hideMark/>
          </w:tcPr>
          <w:p w14:paraId="1E518EA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Rendement 2032</w:t>
            </w:r>
          </w:p>
        </w:tc>
      </w:tr>
      <w:tr w:rsidR="003A416F" w:rsidRPr="003A416F" w14:paraId="22809277" w14:textId="77777777">
        <w:tc>
          <w:tcPr>
            <w:tcW w:w="0" w:type="auto"/>
            <w:tcMar>
              <w:top w:w="150" w:type="dxa"/>
              <w:left w:w="0" w:type="dxa"/>
              <w:bottom w:w="150" w:type="dxa"/>
              <w:right w:w="240" w:type="dxa"/>
            </w:tcMar>
            <w:vAlign w:val="center"/>
            <w:hideMark/>
          </w:tcPr>
          <w:p w14:paraId="18050C0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100 jours</w:t>
            </w:r>
          </w:p>
        </w:tc>
        <w:tc>
          <w:tcPr>
            <w:tcW w:w="0" w:type="auto"/>
            <w:tcMar>
              <w:top w:w="150" w:type="dxa"/>
              <w:left w:w="240" w:type="dxa"/>
              <w:bottom w:w="150" w:type="dxa"/>
              <w:right w:w="240" w:type="dxa"/>
            </w:tcMar>
            <w:vAlign w:val="center"/>
            <w:hideMark/>
          </w:tcPr>
          <w:p w14:paraId="14AB59B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Loi de programmation des finances publiques</w:t>
            </w:r>
          </w:p>
        </w:tc>
        <w:tc>
          <w:tcPr>
            <w:tcW w:w="0" w:type="auto"/>
            <w:tcMar>
              <w:top w:w="150" w:type="dxa"/>
              <w:left w:w="240" w:type="dxa"/>
              <w:bottom w:w="150" w:type="dxa"/>
              <w:right w:w="240" w:type="dxa"/>
            </w:tcMar>
            <w:vAlign w:val="center"/>
            <w:hideMark/>
          </w:tcPr>
          <w:p w14:paraId="0C9C730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Loi</w:t>
            </w:r>
          </w:p>
        </w:tc>
        <w:tc>
          <w:tcPr>
            <w:tcW w:w="0" w:type="auto"/>
            <w:tcMar>
              <w:top w:w="150" w:type="dxa"/>
              <w:left w:w="240" w:type="dxa"/>
              <w:bottom w:w="150" w:type="dxa"/>
              <w:right w:w="240" w:type="dxa"/>
            </w:tcMar>
            <w:vAlign w:val="center"/>
            <w:hideMark/>
          </w:tcPr>
          <w:p w14:paraId="68F6A9D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PM, Bercy</w:t>
            </w:r>
          </w:p>
        </w:tc>
        <w:tc>
          <w:tcPr>
            <w:tcW w:w="0" w:type="auto"/>
            <w:tcMar>
              <w:top w:w="150" w:type="dxa"/>
              <w:left w:w="240" w:type="dxa"/>
              <w:bottom w:w="150" w:type="dxa"/>
              <w:right w:w="0" w:type="dxa"/>
            </w:tcMar>
            <w:vAlign w:val="center"/>
            <w:hideMark/>
          </w:tcPr>
          <w:p w14:paraId="59DD869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Cadre budgétaire</w:t>
            </w:r>
          </w:p>
        </w:tc>
      </w:tr>
      <w:tr w:rsidR="003A416F" w:rsidRPr="003A416F" w14:paraId="6CBEF5C7" w14:textId="77777777">
        <w:tc>
          <w:tcPr>
            <w:tcW w:w="0" w:type="auto"/>
            <w:tcMar>
              <w:top w:w="150" w:type="dxa"/>
              <w:left w:w="0" w:type="dxa"/>
              <w:bottom w:w="150" w:type="dxa"/>
              <w:right w:w="240" w:type="dxa"/>
            </w:tcMar>
            <w:vAlign w:val="center"/>
            <w:hideMark/>
          </w:tcPr>
          <w:p w14:paraId="397FA9A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100 jours</w:t>
            </w:r>
          </w:p>
        </w:tc>
        <w:tc>
          <w:tcPr>
            <w:tcW w:w="0" w:type="auto"/>
            <w:tcMar>
              <w:top w:w="150" w:type="dxa"/>
              <w:left w:w="240" w:type="dxa"/>
              <w:bottom w:w="150" w:type="dxa"/>
              <w:right w:w="240" w:type="dxa"/>
            </w:tcMar>
            <w:vAlign w:val="center"/>
            <w:hideMark/>
          </w:tcPr>
          <w:p w14:paraId="719B93D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Lancement des États généraux de la santé</w:t>
            </w:r>
          </w:p>
        </w:tc>
        <w:tc>
          <w:tcPr>
            <w:tcW w:w="0" w:type="auto"/>
            <w:tcMar>
              <w:top w:w="150" w:type="dxa"/>
              <w:left w:w="240" w:type="dxa"/>
              <w:bottom w:w="150" w:type="dxa"/>
              <w:right w:w="240" w:type="dxa"/>
            </w:tcMar>
            <w:vAlign w:val="center"/>
            <w:hideMark/>
          </w:tcPr>
          <w:p w14:paraId="7883F08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Décret</w:t>
            </w:r>
          </w:p>
        </w:tc>
        <w:tc>
          <w:tcPr>
            <w:tcW w:w="0" w:type="auto"/>
            <w:tcMar>
              <w:top w:w="150" w:type="dxa"/>
              <w:left w:w="240" w:type="dxa"/>
              <w:bottom w:w="150" w:type="dxa"/>
              <w:right w:w="240" w:type="dxa"/>
            </w:tcMar>
            <w:vAlign w:val="center"/>
            <w:hideMark/>
          </w:tcPr>
          <w:p w14:paraId="78AF5F4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Ministre Santé</w:t>
            </w:r>
          </w:p>
        </w:tc>
        <w:tc>
          <w:tcPr>
            <w:tcW w:w="0" w:type="auto"/>
            <w:tcMar>
              <w:top w:w="150" w:type="dxa"/>
              <w:left w:w="240" w:type="dxa"/>
              <w:bottom w:w="150" w:type="dxa"/>
              <w:right w:w="0" w:type="dxa"/>
            </w:tcMar>
            <w:vAlign w:val="center"/>
            <w:hideMark/>
          </w:tcPr>
          <w:p w14:paraId="7AE6365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w:t>
            </w:r>
          </w:p>
        </w:tc>
      </w:tr>
      <w:tr w:rsidR="003A416F" w:rsidRPr="003A416F" w14:paraId="0D7000D8" w14:textId="77777777">
        <w:tc>
          <w:tcPr>
            <w:tcW w:w="0" w:type="auto"/>
            <w:tcMar>
              <w:top w:w="150" w:type="dxa"/>
              <w:left w:w="0" w:type="dxa"/>
              <w:bottom w:w="150" w:type="dxa"/>
              <w:right w:w="240" w:type="dxa"/>
            </w:tcMar>
            <w:vAlign w:val="center"/>
            <w:hideMark/>
          </w:tcPr>
          <w:p w14:paraId="74E7B53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2027</w:t>
            </w:r>
          </w:p>
        </w:tc>
        <w:tc>
          <w:tcPr>
            <w:tcW w:w="0" w:type="auto"/>
            <w:tcMar>
              <w:top w:w="150" w:type="dxa"/>
              <w:left w:w="240" w:type="dxa"/>
              <w:bottom w:w="150" w:type="dxa"/>
              <w:right w:w="240" w:type="dxa"/>
            </w:tcMar>
            <w:vAlign w:val="center"/>
            <w:hideMark/>
          </w:tcPr>
          <w:p w14:paraId="7820352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Réforme des retraites (loi)</w:t>
            </w:r>
          </w:p>
        </w:tc>
        <w:tc>
          <w:tcPr>
            <w:tcW w:w="0" w:type="auto"/>
            <w:tcMar>
              <w:top w:w="150" w:type="dxa"/>
              <w:left w:w="240" w:type="dxa"/>
              <w:bottom w:w="150" w:type="dxa"/>
              <w:right w:w="240" w:type="dxa"/>
            </w:tcMar>
            <w:vAlign w:val="center"/>
            <w:hideMark/>
          </w:tcPr>
          <w:p w14:paraId="06A322B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Loi</w:t>
            </w:r>
          </w:p>
        </w:tc>
        <w:tc>
          <w:tcPr>
            <w:tcW w:w="0" w:type="auto"/>
            <w:tcMar>
              <w:top w:w="150" w:type="dxa"/>
              <w:left w:w="240" w:type="dxa"/>
              <w:bottom w:w="150" w:type="dxa"/>
              <w:right w:w="240" w:type="dxa"/>
            </w:tcMar>
            <w:vAlign w:val="center"/>
            <w:hideMark/>
          </w:tcPr>
          <w:p w14:paraId="3B774D0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Ministre Travail</w:t>
            </w:r>
          </w:p>
        </w:tc>
        <w:tc>
          <w:tcPr>
            <w:tcW w:w="0" w:type="auto"/>
            <w:tcMar>
              <w:top w:w="150" w:type="dxa"/>
              <w:left w:w="240" w:type="dxa"/>
              <w:bottom w:w="150" w:type="dxa"/>
              <w:right w:w="0" w:type="dxa"/>
            </w:tcMar>
            <w:vAlign w:val="center"/>
            <w:hideMark/>
          </w:tcPr>
          <w:p w14:paraId="6AD1CB4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 Mds</w:t>
            </w:r>
          </w:p>
        </w:tc>
      </w:tr>
      <w:tr w:rsidR="003A416F" w:rsidRPr="003A416F" w14:paraId="62EDE737" w14:textId="77777777">
        <w:tc>
          <w:tcPr>
            <w:tcW w:w="0" w:type="auto"/>
            <w:tcMar>
              <w:top w:w="150" w:type="dxa"/>
              <w:left w:w="0" w:type="dxa"/>
              <w:bottom w:w="150" w:type="dxa"/>
              <w:right w:w="240" w:type="dxa"/>
            </w:tcMar>
            <w:vAlign w:val="center"/>
            <w:hideMark/>
          </w:tcPr>
          <w:p w14:paraId="1CDD0BC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2027</w:t>
            </w:r>
          </w:p>
        </w:tc>
        <w:tc>
          <w:tcPr>
            <w:tcW w:w="0" w:type="auto"/>
            <w:tcMar>
              <w:top w:w="150" w:type="dxa"/>
              <w:left w:w="240" w:type="dxa"/>
              <w:bottom w:w="150" w:type="dxa"/>
              <w:right w:w="240" w:type="dxa"/>
            </w:tcMar>
            <w:vAlign w:val="center"/>
            <w:hideMark/>
          </w:tcPr>
          <w:p w14:paraId="671A8D3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Fusion de 5 régions</w:t>
            </w:r>
          </w:p>
        </w:tc>
        <w:tc>
          <w:tcPr>
            <w:tcW w:w="0" w:type="auto"/>
            <w:tcMar>
              <w:top w:w="150" w:type="dxa"/>
              <w:left w:w="240" w:type="dxa"/>
              <w:bottom w:w="150" w:type="dxa"/>
              <w:right w:w="240" w:type="dxa"/>
            </w:tcMar>
            <w:vAlign w:val="center"/>
            <w:hideMark/>
          </w:tcPr>
          <w:p w14:paraId="00A762D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Loi</w:t>
            </w:r>
          </w:p>
        </w:tc>
        <w:tc>
          <w:tcPr>
            <w:tcW w:w="0" w:type="auto"/>
            <w:tcMar>
              <w:top w:w="150" w:type="dxa"/>
              <w:left w:w="240" w:type="dxa"/>
              <w:bottom w:w="150" w:type="dxa"/>
              <w:right w:w="240" w:type="dxa"/>
            </w:tcMar>
            <w:vAlign w:val="center"/>
            <w:hideMark/>
          </w:tcPr>
          <w:p w14:paraId="3087F4B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Ministre Collectivités</w:t>
            </w:r>
          </w:p>
        </w:tc>
        <w:tc>
          <w:tcPr>
            <w:tcW w:w="0" w:type="auto"/>
            <w:tcMar>
              <w:top w:w="150" w:type="dxa"/>
              <w:left w:w="240" w:type="dxa"/>
              <w:bottom w:w="150" w:type="dxa"/>
              <w:right w:w="0" w:type="dxa"/>
            </w:tcMar>
            <w:vAlign w:val="center"/>
            <w:hideMark/>
          </w:tcPr>
          <w:p w14:paraId="6AC3570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 Mds</w:t>
            </w:r>
          </w:p>
        </w:tc>
      </w:tr>
      <w:tr w:rsidR="003A416F" w:rsidRPr="003A416F" w14:paraId="5B140E79" w14:textId="77777777">
        <w:tc>
          <w:tcPr>
            <w:tcW w:w="0" w:type="auto"/>
            <w:tcMar>
              <w:top w:w="150" w:type="dxa"/>
              <w:left w:w="0" w:type="dxa"/>
              <w:bottom w:w="150" w:type="dxa"/>
              <w:right w:w="240" w:type="dxa"/>
            </w:tcMar>
            <w:vAlign w:val="center"/>
            <w:hideMark/>
          </w:tcPr>
          <w:p w14:paraId="5BCC186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2028</w:t>
            </w:r>
          </w:p>
        </w:tc>
        <w:tc>
          <w:tcPr>
            <w:tcW w:w="0" w:type="auto"/>
            <w:tcMar>
              <w:top w:w="150" w:type="dxa"/>
              <w:left w:w="240" w:type="dxa"/>
              <w:bottom w:w="150" w:type="dxa"/>
              <w:right w:w="240" w:type="dxa"/>
            </w:tcMar>
            <w:vAlign w:val="center"/>
            <w:hideMark/>
          </w:tcPr>
          <w:p w14:paraId="3FD0DEB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Mise en œuvre de l’État plateforme</w:t>
            </w:r>
          </w:p>
        </w:tc>
        <w:tc>
          <w:tcPr>
            <w:tcW w:w="0" w:type="auto"/>
            <w:tcMar>
              <w:top w:w="150" w:type="dxa"/>
              <w:left w:w="240" w:type="dxa"/>
              <w:bottom w:w="150" w:type="dxa"/>
              <w:right w:w="240" w:type="dxa"/>
            </w:tcMar>
            <w:vAlign w:val="center"/>
            <w:hideMark/>
          </w:tcPr>
          <w:p w14:paraId="4AFCEE4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Décret</w:t>
            </w:r>
          </w:p>
        </w:tc>
        <w:tc>
          <w:tcPr>
            <w:tcW w:w="0" w:type="auto"/>
            <w:tcMar>
              <w:top w:w="150" w:type="dxa"/>
              <w:left w:w="240" w:type="dxa"/>
              <w:bottom w:w="150" w:type="dxa"/>
              <w:right w:w="240" w:type="dxa"/>
            </w:tcMar>
            <w:vAlign w:val="center"/>
            <w:hideMark/>
          </w:tcPr>
          <w:p w14:paraId="644D941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DGFIP</w:t>
            </w:r>
          </w:p>
        </w:tc>
        <w:tc>
          <w:tcPr>
            <w:tcW w:w="0" w:type="auto"/>
            <w:tcMar>
              <w:top w:w="150" w:type="dxa"/>
              <w:left w:w="240" w:type="dxa"/>
              <w:bottom w:w="150" w:type="dxa"/>
              <w:right w:w="0" w:type="dxa"/>
            </w:tcMar>
            <w:vAlign w:val="center"/>
            <w:hideMark/>
          </w:tcPr>
          <w:p w14:paraId="0F37646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Mds</w:t>
            </w:r>
          </w:p>
        </w:tc>
      </w:tr>
      <w:tr w:rsidR="003A416F" w:rsidRPr="003A416F" w14:paraId="43472D27" w14:textId="77777777">
        <w:tc>
          <w:tcPr>
            <w:tcW w:w="0" w:type="auto"/>
            <w:tcMar>
              <w:top w:w="150" w:type="dxa"/>
              <w:left w:w="0" w:type="dxa"/>
              <w:bottom w:w="150" w:type="dxa"/>
              <w:right w:w="240" w:type="dxa"/>
            </w:tcMar>
            <w:vAlign w:val="center"/>
            <w:hideMark/>
          </w:tcPr>
          <w:p w14:paraId="2B7C1B3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2028</w:t>
            </w:r>
          </w:p>
        </w:tc>
        <w:tc>
          <w:tcPr>
            <w:tcW w:w="0" w:type="auto"/>
            <w:tcMar>
              <w:top w:w="150" w:type="dxa"/>
              <w:left w:w="240" w:type="dxa"/>
              <w:bottom w:w="150" w:type="dxa"/>
              <w:right w:w="240" w:type="dxa"/>
            </w:tcMar>
            <w:vAlign w:val="center"/>
            <w:hideMark/>
          </w:tcPr>
          <w:p w14:paraId="532DC07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Révision des niches fiscales (suppression de 50)</w:t>
            </w:r>
          </w:p>
        </w:tc>
        <w:tc>
          <w:tcPr>
            <w:tcW w:w="0" w:type="auto"/>
            <w:tcMar>
              <w:top w:w="150" w:type="dxa"/>
              <w:left w:w="240" w:type="dxa"/>
              <w:bottom w:w="150" w:type="dxa"/>
              <w:right w:w="240" w:type="dxa"/>
            </w:tcMar>
            <w:vAlign w:val="center"/>
            <w:hideMark/>
          </w:tcPr>
          <w:p w14:paraId="1D3E404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Loi de finances</w:t>
            </w:r>
          </w:p>
        </w:tc>
        <w:tc>
          <w:tcPr>
            <w:tcW w:w="0" w:type="auto"/>
            <w:tcMar>
              <w:top w:w="150" w:type="dxa"/>
              <w:left w:w="240" w:type="dxa"/>
              <w:bottom w:w="150" w:type="dxa"/>
              <w:right w:w="240" w:type="dxa"/>
            </w:tcMar>
            <w:vAlign w:val="center"/>
            <w:hideMark/>
          </w:tcPr>
          <w:p w14:paraId="78346E2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Bercy</w:t>
            </w:r>
          </w:p>
        </w:tc>
        <w:tc>
          <w:tcPr>
            <w:tcW w:w="0" w:type="auto"/>
            <w:tcMar>
              <w:top w:w="150" w:type="dxa"/>
              <w:left w:w="240" w:type="dxa"/>
              <w:bottom w:w="150" w:type="dxa"/>
              <w:right w:w="0" w:type="dxa"/>
            </w:tcMar>
            <w:vAlign w:val="center"/>
            <w:hideMark/>
          </w:tcPr>
          <w:p w14:paraId="0E71EAB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 Mds</w:t>
            </w:r>
          </w:p>
        </w:tc>
      </w:tr>
      <w:tr w:rsidR="003A416F" w:rsidRPr="003A416F" w14:paraId="14990FF8" w14:textId="77777777">
        <w:tc>
          <w:tcPr>
            <w:tcW w:w="0" w:type="auto"/>
            <w:tcMar>
              <w:top w:w="150" w:type="dxa"/>
              <w:left w:w="0" w:type="dxa"/>
              <w:bottom w:w="150" w:type="dxa"/>
              <w:right w:w="240" w:type="dxa"/>
            </w:tcMar>
            <w:vAlign w:val="center"/>
            <w:hideMark/>
          </w:tcPr>
          <w:p w14:paraId="1C9BF88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2029</w:t>
            </w:r>
          </w:p>
        </w:tc>
        <w:tc>
          <w:tcPr>
            <w:tcW w:w="0" w:type="auto"/>
            <w:tcMar>
              <w:top w:w="150" w:type="dxa"/>
              <w:left w:w="240" w:type="dxa"/>
              <w:bottom w:w="150" w:type="dxa"/>
              <w:right w:w="240" w:type="dxa"/>
            </w:tcMar>
            <w:vAlign w:val="center"/>
            <w:hideMark/>
          </w:tcPr>
          <w:p w14:paraId="26991D5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Généralisation du tiers payant générique</w:t>
            </w:r>
          </w:p>
        </w:tc>
        <w:tc>
          <w:tcPr>
            <w:tcW w:w="0" w:type="auto"/>
            <w:tcMar>
              <w:top w:w="150" w:type="dxa"/>
              <w:left w:w="240" w:type="dxa"/>
              <w:bottom w:w="150" w:type="dxa"/>
              <w:right w:w="240" w:type="dxa"/>
            </w:tcMar>
            <w:vAlign w:val="center"/>
            <w:hideMark/>
          </w:tcPr>
          <w:p w14:paraId="5B07807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Circulaire</w:t>
            </w:r>
          </w:p>
        </w:tc>
        <w:tc>
          <w:tcPr>
            <w:tcW w:w="0" w:type="auto"/>
            <w:tcMar>
              <w:top w:w="150" w:type="dxa"/>
              <w:left w:w="240" w:type="dxa"/>
              <w:bottom w:w="150" w:type="dxa"/>
              <w:right w:w="240" w:type="dxa"/>
            </w:tcMar>
            <w:vAlign w:val="center"/>
            <w:hideMark/>
          </w:tcPr>
          <w:p w14:paraId="49D7A08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Sécu</w:t>
            </w:r>
          </w:p>
        </w:tc>
        <w:tc>
          <w:tcPr>
            <w:tcW w:w="0" w:type="auto"/>
            <w:tcMar>
              <w:top w:w="150" w:type="dxa"/>
              <w:left w:w="240" w:type="dxa"/>
              <w:bottom w:w="150" w:type="dxa"/>
              <w:right w:w="0" w:type="dxa"/>
            </w:tcMar>
            <w:vAlign w:val="center"/>
            <w:hideMark/>
          </w:tcPr>
          <w:p w14:paraId="70374D3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+4 Mds</w:t>
            </w:r>
          </w:p>
        </w:tc>
      </w:tr>
      <w:tr w:rsidR="003A416F" w:rsidRPr="003A416F" w14:paraId="182C7E2F" w14:textId="77777777">
        <w:tc>
          <w:tcPr>
            <w:tcW w:w="0" w:type="auto"/>
            <w:tcMar>
              <w:top w:w="150" w:type="dxa"/>
              <w:left w:w="0" w:type="dxa"/>
              <w:bottom w:w="150" w:type="dxa"/>
              <w:right w:w="240" w:type="dxa"/>
            </w:tcMar>
            <w:vAlign w:val="center"/>
            <w:hideMark/>
          </w:tcPr>
          <w:p w14:paraId="4F06555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2030</w:t>
            </w:r>
          </w:p>
        </w:tc>
        <w:tc>
          <w:tcPr>
            <w:tcW w:w="0" w:type="auto"/>
            <w:tcMar>
              <w:top w:w="150" w:type="dxa"/>
              <w:left w:w="240" w:type="dxa"/>
              <w:bottom w:w="150" w:type="dxa"/>
              <w:right w:w="240" w:type="dxa"/>
            </w:tcMar>
            <w:vAlign w:val="center"/>
            <w:hideMark/>
          </w:tcPr>
          <w:p w14:paraId="4105BA6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Baisse de 5 % des effectifs de l’État</w:t>
            </w:r>
          </w:p>
        </w:tc>
        <w:tc>
          <w:tcPr>
            <w:tcW w:w="0" w:type="auto"/>
            <w:tcMar>
              <w:top w:w="150" w:type="dxa"/>
              <w:left w:w="240" w:type="dxa"/>
              <w:bottom w:w="150" w:type="dxa"/>
              <w:right w:w="240" w:type="dxa"/>
            </w:tcMar>
            <w:vAlign w:val="center"/>
            <w:hideMark/>
          </w:tcPr>
          <w:p w14:paraId="13CE128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Plan de départs</w:t>
            </w:r>
          </w:p>
        </w:tc>
        <w:tc>
          <w:tcPr>
            <w:tcW w:w="0" w:type="auto"/>
            <w:tcMar>
              <w:top w:w="150" w:type="dxa"/>
              <w:left w:w="240" w:type="dxa"/>
              <w:bottom w:w="150" w:type="dxa"/>
              <w:right w:w="240" w:type="dxa"/>
            </w:tcMar>
            <w:vAlign w:val="center"/>
            <w:hideMark/>
          </w:tcPr>
          <w:p w14:paraId="63A8EB6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FP</w:t>
            </w:r>
          </w:p>
        </w:tc>
        <w:tc>
          <w:tcPr>
            <w:tcW w:w="0" w:type="auto"/>
            <w:tcMar>
              <w:top w:w="150" w:type="dxa"/>
              <w:left w:w="240" w:type="dxa"/>
              <w:bottom w:w="150" w:type="dxa"/>
              <w:right w:w="0" w:type="dxa"/>
            </w:tcMar>
            <w:vAlign w:val="center"/>
            <w:hideMark/>
          </w:tcPr>
          <w:p w14:paraId="625CAB8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 Mds</w:t>
            </w:r>
          </w:p>
        </w:tc>
      </w:tr>
      <w:tr w:rsidR="003A416F" w:rsidRPr="003A416F" w14:paraId="673E82C1" w14:textId="77777777">
        <w:tc>
          <w:tcPr>
            <w:tcW w:w="0" w:type="auto"/>
            <w:tcMar>
              <w:top w:w="150" w:type="dxa"/>
              <w:left w:w="0" w:type="dxa"/>
              <w:bottom w:w="150" w:type="dxa"/>
              <w:right w:w="240" w:type="dxa"/>
            </w:tcMar>
            <w:vAlign w:val="center"/>
            <w:hideMark/>
          </w:tcPr>
          <w:p w14:paraId="7DF1906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w:t>
            </w:r>
          </w:p>
        </w:tc>
        <w:tc>
          <w:tcPr>
            <w:tcW w:w="0" w:type="auto"/>
            <w:tcMar>
              <w:top w:w="150" w:type="dxa"/>
              <w:left w:w="240" w:type="dxa"/>
              <w:bottom w:w="150" w:type="dxa"/>
              <w:right w:w="240" w:type="dxa"/>
            </w:tcMar>
            <w:vAlign w:val="center"/>
            <w:hideMark/>
          </w:tcPr>
          <w:p w14:paraId="373D127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w:t>
            </w:r>
          </w:p>
        </w:tc>
        <w:tc>
          <w:tcPr>
            <w:tcW w:w="0" w:type="auto"/>
            <w:tcMar>
              <w:top w:w="150" w:type="dxa"/>
              <w:left w:w="240" w:type="dxa"/>
              <w:bottom w:w="150" w:type="dxa"/>
              <w:right w:w="240" w:type="dxa"/>
            </w:tcMar>
            <w:vAlign w:val="center"/>
            <w:hideMark/>
          </w:tcPr>
          <w:p w14:paraId="3CFA134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w:t>
            </w:r>
          </w:p>
        </w:tc>
        <w:tc>
          <w:tcPr>
            <w:tcW w:w="0" w:type="auto"/>
            <w:tcMar>
              <w:top w:w="150" w:type="dxa"/>
              <w:left w:w="240" w:type="dxa"/>
              <w:bottom w:w="150" w:type="dxa"/>
              <w:right w:w="240" w:type="dxa"/>
            </w:tcMar>
            <w:vAlign w:val="center"/>
            <w:hideMark/>
          </w:tcPr>
          <w:p w14:paraId="60C37A6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w:t>
            </w:r>
          </w:p>
        </w:tc>
        <w:tc>
          <w:tcPr>
            <w:tcW w:w="0" w:type="auto"/>
            <w:tcMar>
              <w:top w:w="150" w:type="dxa"/>
              <w:left w:w="240" w:type="dxa"/>
              <w:bottom w:w="150" w:type="dxa"/>
              <w:right w:w="0" w:type="dxa"/>
            </w:tcMar>
            <w:vAlign w:val="center"/>
            <w:hideMark/>
          </w:tcPr>
          <w:p w14:paraId="463B2D1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w:t>
            </w:r>
          </w:p>
        </w:tc>
      </w:tr>
    </w:tbl>
    <w:p w14:paraId="642B226B"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3F676EF0">
          <v:rect id="_x0000_i1038" alt="" style="width:453.6pt;height:.05pt;mso-width-percent:0;mso-height-percent:0;mso-width-percent:0;mso-height-percent:0" o:hralign="center" o:hrstd="t" o:hr="t" fillcolor="#a0a0a0" stroked="f"/>
        </w:pict>
      </w:r>
    </w:p>
    <w:p w14:paraId="65D449D2"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6. BUDGET STRATÉGIQUE R&amp;D / INNOVATION</w:t>
      </w:r>
    </w:p>
    <w:tbl>
      <w:tblPr>
        <w:tblW w:w="0" w:type="auto"/>
        <w:tblCellMar>
          <w:top w:w="15" w:type="dxa"/>
          <w:left w:w="15" w:type="dxa"/>
          <w:bottom w:w="15" w:type="dxa"/>
          <w:right w:w="15" w:type="dxa"/>
        </w:tblCellMar>
        <w:tblLook w:val="04A0" w:firstRow="1" w:lastRow="0" w:firstColumn="1" w:lastColumn="0" w:noHBand="0" w:noVBand="1"/>
      </w:tblPr>
      <w:tblGrid>
        <w:gridCol w:w="2550"/>
        <w:gridCol w:w="1405"/>
        <w:gridCol w:w="1707"/>
        <w:gridCol w:w="3410"/>
      </w:tblGrid>
      <w:tr w:rsidR="003A416F" w:rsidRPr="003A416F" w14:paraId="77098E1F" w14:textId="77777777">
        <w:trPr>
          <w:tblHeader/>
        </w:trPr>
        <w:tc>
          <w:tcPr>
            <w:tcW w:w="0" w:type="auto"/>
            <w:tcBorders>
              <w:top w:val="nil"/>
            </w:tcBorders>
            <w:tcMar>
              <w:top w:w="150" w:type="dxa"/>
              <w:left w:w="0" w:type="dxa"/>
              <w:bottom w:w="150" w:type="dxa"/>
              <w:right w:w="240" w:type="dxa"/>
            </w:tcMar>
            <w:vAlign w:val="center"/>
            <w:hideMark/>
          </w:tcPr>
          <w:p w14:paraId="1C20ED2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lastRenderedPageBreak/>
              <w:t>Domaine</w:t>
            </w:r>
          </w:p>
        </w:tc>
        <w:tc>
          <w:tcPr>
            <w:tcW w:w="0" w:type="auto"/>
            <w:tcBorders>
              <w:top w:val="nil"/>
            </w:tcBorders>
            <w:tcMar>
              <w:top w:w="150" w:type="dxa"/>
              <w:left w:w="240" w:type="dxa"/>
              <w:bottom w:w="150" w:type="dxa"/>
              <w:right w:w="240" w:type="dxa"/>
            </w:tcMar>
            <w:vAlign w:val="center"/>
            <w:hideMark/>
          </w:tcPr>
          <w:p w14:paraId="3636F8A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Budget actuel</w:t>
            </w:r>
          </w:p>
        </w:tc>
        <w:tc>
          <w:tcPr>
            <w:tcW w:w="0" w:type="auto"/>
            <w:tcBorders>
              <w:top w:val="nil"/>
            </w:tcBorders>
            <w:tcMar>
              <w:top w:w="150" w:type="dxa"/>
              <w:left w:w="240" w:type="dxa"/>
              <w:bottom w:w="150" w:type="dxa"/>
              <w:right w:w="240" w:type="dxa"/>
            </w:tcMar>
            <w:vAlign w:val="center"/>
            <w:hideMark/>
          </w:tcPr>
          <w:p w14:paraId="75ED6EA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Budget proposé 2032</w:t>
            </w:r>
          </w:p>
        </w:tc>
        <w:tc>
          <w:tcPr>
            <w:tcW w:w="0" w:type="auto"/>
            <w:tcBorders>
              <w:top w:val="nil"/>
            </w:tcBorders>
            <w:tcMar>
              <w:top w:w="150" w:type="dxa"/>
              <w:left w:w="240" w:type="dxa"/>
              <w:bottom w:w="150" w:type="dxa"/>
              <w:right w:w="240" w:type="dxa"/>
            </w:tcMar>
            <w:vAlign w:val="center"/>
            <w:hideMark/>
          </w:tcPr>
          <w:p w14:paraId="30BA52D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Objectif</w:t>
            </w:r>
          </w:p>
        </w:tc>
      </w:tr>
      <w:tr w:rsidR="003A416F" w:rsidRPr="003A416F" w14:paraId="087ACB90" w14:textId="77777777">
        <w:tc>
          <w:tcPr>
            <w:tcW w:w="0" w:type="auto"/>
            <w:tcMar>
              <w:top w:w="150" w:type="dxa"/>
              <w:left w:w="0" w:type="dxa"/>
              <w:bottom w:w="150" w:type="dxa"/>
              <w:right w:w="240" w:type="dxa"/>
            </w:tcMar>
            <w:vAlign w:val="center"/>
            <w:hideMark/>
          </w:tcPr>
          <w:p w14:paraId="449E310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Intelligence artificielle</w:t>
            </w:r>
          </w:p>
        </w:tc>
        <w:tc>
          <w:tcPr>
            <w:tcW w:w="0" w:type="auto"/>
            <w:tcMar>
              <w:top w:w="150" w:type="dxa"/>
              <w:left w:w="240" w:type="dxa"/>
              <w:bottom w:w="150" w:type="dxa"/>
              <w:right w:w="240" w:type="dxa"/>
            </w:tcMar>
            <w:vAlign w:val="center"/>
            <w:hideMark/>
          </w:tcPr>
          <w:p w14:paraId="03CC87E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2,5 Mds€</w:t>
            </w:r>
          </w:p>
        </w:tc>
        <w:tc>
          <w:tcPr>
            <w:tcW w:w="0" w:type="auto"/>
            <w:tcMar>
              <w:top w:w="150" w:type="dxa"/>
              <w:left w:w="240" w:type="dxa"/>
              <w:bottom w:w="150" w:type="dxa"/>
              <w:right w:w="240" w:type="dxa"/>
            </w:tcMar>
            <w:vAlign w:val="center"/>
            <w:hideMark/>
          </w:tcPr>
          <w:p w14:paraId="5885998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8 Mds€</w:t>
            </w:r>
          </w:p>
        </w:tc>
        <w:tc>
          <w:tcPr>
            <w:tcW w:w="0" w:type="auto"/>
            <w:tcMar>
              <w:top w:w="150" w:type="dxa"/>
              <w:left w:w="240" w:type="dxa"/>
              <w:bottom w:w="150" w:type="dxa"/>
              <w:right w:w="0" w:type="dxa"/>
            </w:tcMar>
            <w:vAlign w:val="center"/>
            <w:hideMark/>
          </w:tcPr>
          <w:p w14:paraId="185ED0B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Souveraineté dans les modèles de langage et IA industrielle.</w:t>
            </w:r>
          </w:p>
        </w:tc>
      </w:tr>
      <w:tr w:rsidR="003A416F" w:rsidRPr="003A416F" w14:paraId="50B4FFB3" w14:textId="77777777">
        <w:tc>
          <w:tcPr>
            <w:tcW w:w="0" w:type="auto"/>
            <w:tcMar>
              <w:top w:w="150" w:type="dxa"/>
              <w:left w:w="0" w:type="dxa"/>
              <w:bottom w:w="150" w:type="dxa"/>
              <w:right w:w="240" w:type="dxa"/>
            </w:tcMar>
            <w:vAlign w:val="center"/>
            <w:hideMark/>
          </w:tcPr>
          <w:p w14:paraId="69E0122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Semi-conducteurs</w:t>
            </w:r>
          </w:p>
        </w:tc>
        <w:tc>
          <w:tcPr>
            <w:tcW w:w="0" w:type="auto"/>
            <w:tcMar>
              <w:top w:w="150" w:type="dxa"/>
              <w:left w:w="240" w:type="dxa"/>
              <w:bottom w:w="150" w:type="dxa"/>
              <w:right w:w="240" w:type="dxa"/>
            </w:tcMar>
            <w:vAlign w:val="center"/>
            <w:hideMark/>
          </w:tcPr>
          <w:p w14:paraId="5426316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Mds€</w:t>
            </w:r>
          </w:p>
        </w:tc>
        <w:tc>
          <w:tcPr>
            <w:tcW w:w="0" w:type="auto"/>
            <w:tcMar>
              <w:top w:w="150" w:type="dxa"/>
              <w:left w:w="240" w:type="dxa"/>
              <w:bottom w:w="150" w:type="dxa"/>
              <w:right w:w="240" w:type="dxa"/>
            </w:tcMar>
            <w:vAlign w:val="center"/>
            <w:hideMark/>
          </w:tcPr>
          <w:p w14:paraId="5841E2D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6 Mds€</w:t>
            </w:r>
          </w:p>
        </w:tc>
        <w:tc>
          <w:tcPr>
            <w:tcW w:w="0" w:type="auto"/>
            <w:tcMar>
              <w:top w:w="150" w:type="dxa"/>
              <w:left w:w="240" w:type="dxa"/>
              <w:bottom w:w="150" w:type="dxa"/>
              <w:right w:w="0" w:type="dxa"/>
            </w:tcMar>
            <w:vAlign w:val="center"/>
            <w:hideMark/>
          </w:tcPr>
          <w:p w14:paraId="72A8CC5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Packaging avancé, conception de puces pour l’automobile et la défense.</w:t>
            </w:r>
          </w:p>
        </w:tc>
      </w:tr>
      <w:tr w:rsidR="003A416F" w:rsidRPr="003A416F" w14:paraId="11D9D4F1" w14:textId="77777777">
        <w:tc>
          <w:tcPr>
            <w:tcW w:w="0" w:type="auto"/>
            <w:tcMar>
              <w:top w:w="150" w:type="dxa"/>
              <w:left w:w="0" w:type="dxa"/>
              <w:bottom w:w="150" w:type="dxa"/>
              <w:right w:w="240" w:type="dxa"/>
            </w:tcMar>
            <w:vAlign w:val="center"/>
            <w:hideMark/>
          </w:tcPr>
          <w:p w14:paraId="4AC24FD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Énergie (nucléaire, SMR, batteries)</w:t>
            </w:r>
          </w:p>
        </w:tc>
        <w:tc>
          <w:tcPr>
            <w:tcW w:w="0" w:type="auto"/>
            <w:tcMar>
              <w:top w:w="150" w:type="dxa"/>
              <w:left w:w="240" w:type="dxa"/>
              <w:bottom w:w="150" w:type="dxa"/>
              <w:right w:w="240" w:type="dxa"/>
            </w:tcMar>
            <w:vAlign w:val="center"/>
            <w:hideMark/>
          </w:tcPr>
          <w:p w14:paraId="1B7EC95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6 Mds€</w:t>
            </w:r>
          </w:p>
        </w:tc>
        <w:tc>
          <w:tcPr>
            <w:tcW w:w="0" w:type="auto"/>
            <w:tcMar>
              <w:top w:w="150" w:type="dxa"/>
              <w:left w:w="240" w:type="dxa"/>
              <w:bottom w:w="150" w:type="dxa"/>
              <w:right w:w="240" w:type="dxa"/>
            </w:tcMar>
            <w:vAlign w:val="center"/>
            <w:hideMark/>
          </w:tcPr>
          <w:p w14:paraId="69FE282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12 Mds€</w:t>
            </w:r>
          </w:p>
        </w:tc>
        <w:tc>
          <w:tcPr>
            <w:tcW w:w="0" w:type="auto"/>
            <w:tcMar>
              <w:top w:w="150" w:type="dxa"/>
              <w:left w:w="240" w:type="dxa"/>
              <w:bottom w:w="150" w:type="dxa"/>
              <w:right w:w="0" w:type="dxa"/>
            </w:tcMar>
            <w:vAlign w:val="center"/>
            <w:hideMark/>
          </w:tcPr>
          <w:p w14:paraId="56583AE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Décarbonation rapide, exportation de technologie.</w:t>
            </w:r>
          </w:p>
        </w:tc>
      </w:tr>
      <w:tr w:rsidR="003A416F" w:rsidRPr="003A416F" w14:paraId="3FBB8DF7" w14:textId="77777777">
        <w:tc>
          <w:tcPr>
            <w:tcW w:w="0" w:type="auto"/>
            <w:tcMar>
              <w:top w:w="150" w:type="dxa"/>
              <w:left w:w="0" w:type="dxa"/>
              <w:bottom w:w="150" w:type="dxa"/>
              <w:right w:w="240" w:type="dxa"/>
            </w:tcMar>
            <w:vAlign w:val="center"/>
            <w:hideMark/>
          </w:tcPr>
          <w:p w14:paraId="6CCAED8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Défense et spatial</w:t>
            </w:r>
          </w:p>
        </w:tc>
        <w:tc>
          <w:tcPr>
            <w:tcW w:w="0" w:type="auto"/>
            <w:tcMar>
              <w:top w:w="150" w:type="dxa"/>
              <w:left w:w="240" w:type="dxa"/>
              <w:bottom w:w="150" w:type="dxa"/>
              <w:right w:w="240" w:type="dxa"/>
            </w:tcMar>
            <w:vAlign w:val="center"/>
            <w:hideMark/>
          </w:tcPr>
          <w:p w14:paraId="400734E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4,5 Mds€</w:t>
            </w:r>
          </w:p>
        </w:tc>
        <w:tc>
          <w:tcPr>
            <w:tcW w:w="0" w:type="auto"/>
            <w:tcMar>
              <w:top w:w="150" w:type="dxa"/>
              <w:left w:w="240" w:type="dxa"/>
              <w:bottom w:w="150" w:type="dxa"/>
              <w:right w:w="240" w:type="dxa"/>
            </w:tcMar>
            <w:vAlign w:val="center"/>
            <w:hideMark/>
          </w:tcPr>
          <w:p w14:paraId="6F863CB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9 Mds€</w:t>
            </w:r>
          </w:p>
        </w:tc>
        <w:tc>
          <w:tcPr>
            <w:tcW w:w="0" w:type="auto"/>
            <w:tcMar>
              <w:top w:w="150" w:type="dxa"/>
              <w:left w:w="240" w:type="dxa"/>
              <w:bottom w:w="150" w:type="dxa"/>
              <w:right w:w="0" w:type="dxa"/>
            </w:tcMar>
            <w:vAlign w:val="center"/>
            <w:hideMark/>
          </w:tcPr>
          <w:p w14:paraId="0BD32EE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Drones, cyber, satellites d’observation.</w:t>
            </w:r>
          </w:p>
        </w:tc>
      </w:tr>
      <w:tr w:rsidR="003A416F" w:rsidRPr="003A416F" w14:paraId="50035D7A" w14:textId="77777777">
        <w:tc>
          <w:tcPr>
            <w:tcW w:w="0" w:type="auto"/>
            <w:tcMar>
              <w:top w:w="150" w:type="dxa"/>
              <w:left w:w="0" w:type="dxa"/>
              <w:bottom w:w="150" w:type="dxa"/>
              <w:right w:w="240" w:type="dxa"/>
            </w:tcMar>
            <w:vAlign w:val="center"/>
            <w:hideMark/>
          </w:tcPr>
          <w:p w14:paraId="1942171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Biotechnologies et santé</w:t>
            </w:r>
          </w:p>
        </w:tc>
        <w:tc>
          <w:tcPr>
            <w:tcW w:w="0" w:type="auto"/>
            <w:tcMar>
              <w:top w:w="150" w:type="dxa"/>
              <w:left w:w="240" w:type="dxa"/>
              <w:bottom w:w="150" w:type="dxa"/>
              <w:right w:w="240" w:type="dxa"/>
            </w:tcMar>
            <w:vAlign w:val="center"/>
            <w:hideMark/>
          </w:tcPr>
          <w:p w14:paraId="177CCFC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 Mds€</w:t>
            </w:r>
          </w:p>
        </w:tc>
        <w:tc>
          <w:tcPr>
            <w:tcW w:w="0" w:type="auto"/>
            <w:tcMar>
              <w:top w:w="150" w:type="dxa"/>
              <w:left w:w="240" w:type="dxa"/>
              <w:bottom w:w="150" w:type="dxa"/>
              <w:right w:w="240" w:type="dxa"/>
            </w:tcMar>
            <w:vAlign w:val="center"/>
            <w:hideMark/>
          </w:tcPr>
          <w:p w14:paraId="2A3CF4B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5 Mds€</w:t>
            </w:r>
          </w:p>
        </w:tc>
        <w:tc>
          <w:tcPr>
            <w:tcW w:w="0" w:type="auto"/>
            <w:tcMar>
              <w:top w:w="150" w:type="dxa"/>
              <w:left w:w="240" w:type="dxa"/>
              <w:bottom w:w="150" w:type="dxa"/>
              <w:right w:w="0" w:type="dxa"/>
            </w:tcMar>
            <w:vAlign w:val="center"/>
            <w:hideMark/>
          </w:tcPr>
          <w:p w14:paraId="7F85EDD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Médecine personnalisée, lutte contre les pandémies.</w:t>
            </w:r>
          </w:p>
        </w:tc>
      </w:tr>
    </w:tbl>
    <w:p w14:paraId="2C25E684"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Total supplémentaire :</w:t>
      </w:r>
      <w:r w:rsidRPr="003A416F">
        <w:rPr>
          <w:rFonts w:ascii="Segoe UI" w:eastAsia="Times New Roman" w:hAnsi="Segoe UI" w:cs="Segoe UI"/>
          <w:color w:val="0F1115"/>
          <w:kern w:val="0"/>
          <w:lang w:eastAsia="fr-FR"/>
          <w14:ligatures w14:val="none"/>
        </w:rPr>
        <w:t> 20 Mds€ en 2032, financé par la croissance et les économies réallouées.</w:t>
      </w:r>
    </w:p>
    <w:p w14:paraId="45091D96"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18DF2456">
          <v:rect id="_x0000_i1037" alt="" style="width:453.6pt;height:.05pt;mso-width-percent:0;mso-height-percent:0;mso-width-percent:0;mso-height-percent:0" o:hralign="center" o:hrstd="t" o:hr="t" fillcolor="#a0a0a0" stroked="f"/>
        </w:pict>
      </w:r>
    </w:p>
    <w:p w14:paraId="09C0CFD9"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7. TESTS DE RÉSISTANCE (Scénario 1)</w:t>
      </w:r>
    </w:p>
    <w:tbl>
      <w:tblPr>
        <w:tblW w:w="0" w:type="auto"/>
        <w:tblCellMar>
          <w:top w:w="15" w:type="dxa"/>
          <w:left w:w="15" w:type="dxa"/>
          <w:bottom w:w="15" w:type="dxa"/>
          <w:right w:w="15" w:type="dxa"/>
        </w:tblCellMar>
        <w:tblLook w:val="04A0" w:firstRow="1" w:lastRow="0" w:firstColumn="1" w:lastColumn="0" w:noHBand="0" w:noVBand="1"/>
      </w:tblPr>
      <w:tblGrid>
        <w:gridCol w:w="2577"/>
        <w:gridCol w:w="1688"/>
        <w:gridCol w:w="1280"/>
        <w:gridCol w:w="3527"/>
      </w:tblGrid>
      <w:tr w:rsidR="003A416F" w:rsidRPr="003A416F" w14:paraId="24523D8A" w14:textId="77777777">
        <w:trPr>
          <w:tblHeader/>
        </w:trPr>
        <w:tc>
          <w:tcPr>
            <w:tcW w:w="0" w:type="auto"/>
            <w:tcBorders>
              <w:top w:val="nil"/>
            </w:tcBorders>
            <w:tcMar>
              <w:top w:w="150" w:type="dxa"/>
              <w:left w:w="0" w:type="dxa"/>
              <w:bottom w:w="150" w:type="dxa"/>
              <w:right w:w="240" w:type="dxa"/>
            </w:tcMar>
            <w:vAlign w:val="center"/>
            <w:hideMark/>
          </w:tcPr>
          <w:p w14:paraId="44F26ED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Choc</w:t>
            </w:r>
          </w:p>
        </w:tc>
        <w:tc>
          <w:tcPr>
            <w:tcW w:w="0" w:type="auto"/>
            <w:tcBorders>
              <w:top w:val="nil"/>
            </w:tcBorders>
            <w:tcMar>
              <w:top w:w="150" w:type="dxa"/>
              <w:left w:w="240" w:type="dxa"/>
              <w:bottom w:w="150" w:type="dxa"/>
              <w:right w:w="240" w:type="dxa"/>
            </w:tcMar>
            <w:vAlign w:val="center"/>
            <w:hideMark/>
          </w:tcPr>
          <w:p w14:paraId="2392A14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Effet sur solde 2032</w:t>
            </w:r>
          </w:p>
        </w:tc>
        <w:tc>
          <w:tcPr>
            <w:tcW w:w="0" w:type="auto"/>
            <w:tcBorders>
              <w:top w:val="nil"/>
            </w:tcBorders>
            <w:tcMar>
              <w:top w:w="150" w:type="dxa"/>
              <w:left w:w="240" w:type="dxa"/>
              <w:bottom w:w="150" w:type="dxa"/>
              <w:right w:w="240" w:type="dxa"/>
            </w:tcMar>
            <w:vAlign w:val="center"/>
            <w:hideMark/>
          </w:tcPr>
          <w:p w14:paraId="4B4291C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Effet sur dette 2032</w:t>
            </w:r>
          </w:p>
        </w:tc>
        <w:tc>
          <w:tcPr>
            <w:tcW w:w="0" w:type="auto"/>
            <w:tcBorders>
              <w:top w:val="nil"/>
            </w:tcBorders>
            <w:tcMar>
              <w:top w:w="150" w:type="dxa"/>
              <w:left w:w="240" w:type="dxa"/>
              <w:bottom w:w="150" w:type="dxa"/>
              <w:right w:w="240" w:type="dxa"/>
            </w:tcMar>
            <w:vAlign w:val="center"/>
            <w:hideMark/>
          </w:tcPr>
          <w:p w14:paraId="53DEC5A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Résilience</w:t>
            </w:r>
          </w:p>
        </w:tc>
      </w:tr>
      <w:tr w:rsidR="003A416F" w:rsidRPr="003A416F" w14:paraId="0FA5A4E5" w14:textId="77777777">
        <w:tc>
          <w:tcPr>
            <w:tcW w:w="0" w:type="auto"/>
            <w:tcMar>
              <w:top w:w="150" w:type="dxa"/>
              <w:left w:w="0" w:type="dxa"/>
              <w:bottom w:w="150" w:type="dxa"/>
              <w:right w:w="240" w:type="dxa"/>
            </w:tcMar>
            <w:vAlign w:val="center"/>
            <w:hideMark/>
          </w:tcPr>
          <w:p w14:paraId="020F99C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Récession</w:t>
            </w:r>
            <w:r w:rsidRPr="003A416F">
              <w:rPr>
                <w:rFonts w:ascii="Segoe UI" w:eastAsia="Times New Roman" w:hAnsi="Segoe UI" w:cs="Segoe UI"/>
                <w:kern w:val="0"/>
                <w:sz w:val="23"/>
                <w:szCs w:val="23"/>
                <w:lang w:eastAsia="fr-FR"/>
                <w14:ligatures w14:val="none"/>
              </w:rPr>
              <w:t> (-1 pt de croissance en 2028-2029)</w:t>
            </w:r>
          </w:p>
        </w:tc>
        <w:tc>
          <w:tcPr>
            <w:tcW w:w="0" w:type="auto"/>
            <w:tcMar>
              <w:top w:w="150" w:type="dxa"/>
              <w:left w:w="240" w:type="dxa"/>
              <w:bottom w:w="150" w:type="dxa"/>
              <w:right w:w="240" w:type="dxa"/>
            </w:tcMar>
            <w:vAlign w:val="center"/>
            <w:hideMark/>
          </w:tcPr>
          <w:p w14:paraId="2B89FA3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-3,5 points de PIB</w:t>
            </w:r>
          </w:p>
        </w:tc>
        <w:tc>
          <w:tcPr>
            <w:tcW w:w="0" w:type="auto"/>
            <w:tcMar>
              <w:top w:w="150" w:type="dxa"/>
              <w:left w:w="240" w:type="dxa"/>
              <w:bottom w:w="150" w:type="dxa"/>
              <w:right w:w="240" w:type="dxa"/>
            </w:tcMar>
            <w:vAlign w:val="center"/>
            <w:hideMark/>
          </w:tcPr>
          <w:p w14:paraId="67511B4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115 %</w:t>
            </w:r>
          </w:p>
        </w:tc>
        <w:tc>
          <w:tcPr>
            <w:tcW w:w="0" w:type="auto"/>
            <w:tcMar>
              <w:top w:w="150" w:type="dxa"/>
              <w:left w:w="240" w:type="dxa"/>
              <w:bottom w:w="150" w:type="dxa"/>
              <w:right w:w="0" w:type="dxa"/>
            </w:tcMar>
            <w:vAlign w:val="center"/>
            <w:hideMark/>
          </w:tcPr>
          <w:p w14:paraId="2D90309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Le programme prévoit des stabilisateurs automatiques et un report des économies les plus dures.</w:t>
            </w:r>
          </w:p>
        </w:tc>
      </w:tr>
      <w:tr w:rsidR="003A416F" w:rsidRPr="003A416F" w14:paraId="75076A4C" w14:textId="77777777">
        <w:tc>
          <w:tcPr>
            <w:tcW w:w="0" w:type="auto"/>
            <w:tcMar>
              <w:top w:w="150" w:type="dxa"/>
              <w:left w:w="0" w:type="dxa"/>
              <w:bottom w:w="150" w:type="dxa"/>
              <w:right w:w="240" w:type="dxa"/>
            </w:tcMar>
            <w:vAlign w:val="center"/>
            <w:hideMark/>
          </w:tcPr>
          <w:p w14:paraId="60B39EF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lastRenderedPageBreak/>
              <w:t>Hausse des taux</w:t>
            </w:r>
            <w:r w:rsidRPr="003A416F">
              <w:rPr>
                <w:rFonts w:ascii="Segoe UI" w:eastAsia="Times New Roman" w:hAnsi="Segoe UI" w:cs="Segoe UI"/>
                <w:kern w:val="0"/>
                <w:sz w:val="23"/>
                <w:szCs w:val="23"/>
                <w:lang w:eastAsia="fr-FR"/>
                <w14:ligatures w14:val="none"/>
              </w:rPr>
              <w:t> (+100 pts de base)</w:t>
            </w:r>
          </w:p>
        </w:tc>
        <w:tc>
          <w:tcPr>
            <w:tcW w:w="0" w:type="auto"/>
            <w:tcMar>
              <w:top w:w="150" w:type="dxa"/>
              <w:left w:w="240" w:type="dxa"/>
              <w:bottom w:w="150" w:type="dxa"/>
              <w:right w:w="240" w:type="dxa"/>
            </w:tcMar>
            <w:vAlign w:val="center"/>
            <w:hideMark/>
          </w:tcPr>
          <w:p w14:paraId="65E61EE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 points de PIB (intérêts)</w:t>
            </w:r>
          </w:p>
        </w:tc>
        <w:tc>
          <w:tcPr>
            <w:tcW w:w="0" w:type="auto"/>
            <w:tcMar>
              <w:top w:w="150" w:type="dxa"/>
              <w:left w:w="240" w:type="dxa"/>
              <w:bottom w:w="150" w:type="dxa"/>
              <w:right w:w="240" w:type="dxa"/>
            </w:tcMar>
            <w:vAlign w:val="center"/>
            <w:hideMark/>
          </w:tcPr>
          <w:p w14:paraId="483D68F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112 %</w:t>
            </w:r>
          </w:p>
        </w:tc>
        <w:tc>
          <w:tcPr>
            <w:tcW w:w="0" w:type="auto"/>
            <w:tcMar>
              <w:top w:w="150" w:type="dxa"/>
              <w:left w:w="240" w:type="dxa"/>
              <w:bottom w:w="150" w:type="dxa"/>
              <w:right w:w="0" w:type="dxa"/>
            </w:tcMar>
            <w:vAlign w:val="center"/>
            <w:hideMark/>
          </w:tcPr>
          <w:p w14:paraId="76F01FF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La charge d’intérêts explose ; nécessité de reporter la baisse des impôts.</w:t>
            </w:r>
          </w:p>
        </w:tc>
      </w:tr>
      <w:tr w:rsidR="003A416F" w:rsidRPr="003A416F" w14:paraId="791AB324" w14:textId="77777777">
        <w:tc>
          <w:tcPr>
            <w:tcW w:w="0" w:type="auto"/>
            <w:tcMar>
              <w:top w:w="150" w:type="dxa"/>
              <w:left w:w="0" w:type="dxa"/>
              <w:bottom w:w="150" w:type="dxa"/>
              <w:right w:w="240" w:type="dxa"/>
            </w:tcMar>
            <w:vAlign w:val="center"/>
            <w:hideMark/>
          </w:tcPr>
          <w:p w14:paraId="3885D38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Crise énergétique</w:t>
            </w:r>
            <w:r w:rsidRPr="003A416F">
              <w:rPr>
                <w:rFonts w:ascii="Segoe UI" w:eastAsia="Times New Roman" w:hAnsi="Segoe UI" w:cs="Segoe UI"/>
                <w:kern w:val="0"/>
                <w:sz w:val="23"/>
                <w:szCs w:val="23"/>
                <w:lang w:eastAsia="fr-FR"/>
                <w14:ligatures w14:val="none"/>
              </w:rPr>
              <w:t> (prix x2 en 2027-2028)</w:t>
            </w:r>
          </w:p>
        </w:tc>
        <w:tc>
          <w:tcPr>
            <w:tcW w:w="0" w:type="auto"/>
            <w:tcMar>
              <w:top w:w="150" w:type="dxa"/>
              <w:left w:w="240" w:type="dxa"/>
              <w:bottom w:w="150" w:type="dxa"/>
              <w:right w:w="240" w:type="dxa"/>
            </w:tcMar>
            <w:vAlign w:val="center"/>
            <w:hideMark/>
          </w:tcPr>
          <w:p w14:paraId="0110CDD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point de PIB</w:t>
            </w:r>
          </w:p>
        </w:tc>
        <w:tc>
          <w:tcPr>
            <w:tcW w:w="0" w:type="auto"/>
            <w:tcMar>
              <w:top w:w="150" w:type="dxa"/>
              <w:left w:w="240" w:type="dxa"/>
              <w:bottom w:w="150" w:type="dxa"/>
              <w:right w:w="240" w:type="dxa"/>
            </w:tcMar>
            <w:vAlign w:val="center"/>
            <w:hideMark/>
          </w:tcPr>
          <w:p w14:paraId="7CB67FB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114 %</w:t>
            </w:r>
          </w:p>
        </w:tc>
        <w:tc>
          <w:tcPr>
            <w:tcW w:w="0" w:type="auto"/>
            <w:tcMar>
              <w:top w:w="150" w:type="dxa"/>
              <w:left w:w="240" w:type="dxa"/>
              <w:bottom w:w="150" w:type="dxa"/>
              <w:right w:w="0" w:type="dxa"/>
            </w:tcMar>
            <w:vAlign w:val="center"/>
            <w:hideMark/>
          </w:tcPr>
          <w:p w14:paraId="004F311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La perte de compétitivité industrielle est dommageable, mais les réformes pro-croissance amortissent le choc.</w:t>
            </w:r>
          </w:p>
        </w:tc>
      </w:tr>
    </w:tbl>
    <w:p w14:paraId="105754FC"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1E9C9121">
          <v:rect id="_x0000_i1036" alt="" style="width:453.6pt;height:.05pt;mso-width-percent:0;mso-height-percent:0;mso-width-percent:0;mso-height-percent:0" o:hralign="center" o:hrstd="t" o:hr="t" fillcolor="#a0a0a0" stroked="f"/>
        </w:pict>
      </w:r>
    </w:p>
    <w:p w14:paraId="0163EE70"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8. TABLEAU COMPARATIF FINAL</w:t>
      </w:r>
    </w:p>
    <w:tbl>
      <w:tblPr>
        <w:tblW w:w="0" w:type="auto"/>
        <w:tblCellMar>
          <w:top w:w="15" w:type="dxa"/>
          <w:left w:w="15" w:type="dxa"/>
          <w:bottom w:w="15" w:type="dxa"/>
          <w:right w:w="15" w:type="dxa"/>
        </w:tblCellMar>
        <w:tblLook w:val="04A0" w:firstRow="1" w:lastRow="0" w:firstColumn="1" w:lastColumn="0" w:noHBand="0" w:noVBand="1"/>
      </w:tblPr>
      <w:tblGrid>
        <w:gridCol w:w="2455"/>
        <w:gridCol w:w="2069"/>
        <w:gridCol w:w="2107"/>
        <w:gridCol w:w="2441"/>
      </w:tblGrid>
      <w:tr w:rsidR="003A416F" w:rsidRPr="003A416F" w14:paraId="1C51228D" w14:textId="77777777">
        <w:trPr>
          <w:tblHeader/>
        </w:trPr>
        <w:tc>
          <w:tcPr>
            <w:tcW w:w="0" w:type="auto"/>
            <w:tcBorders>
              <w:top w:val="nil"/>
            </w:tcBorders>
            <w:tcMar>
              <w:top w:w="150" w:type="dxa"/>
              <w:left w:w="0" w:type="dxa"/>
              <w:bottom w:w="150" w:type="dxa"/>
              <w:right w:w="240" w:type="dxa"/>
            </w:tcMar>
            <w:vAlign w:val="center"/>
            <w:hideMark/>
          </w:tcPr>
          <w:p w14:paraId="71BEFC9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Critère</w:t>
            </w:r>
          </w:p>
        </w:tc>
        <w:tc>
          <w:tcPr>
            <w:tcW w:w="0" w:type="auto"/>
            <w:tcBorders>
              <w:top w:val="nil"/>
            </w:tcBorders>
            <w:tcMar>
              <w:top w:w="150" w:type="dxa"/>
              <w:left w:w="240" w:type="dxa"/>
              <w:bottom w:w="150" w:type="dxa"/>
              <w:right w:w="240" w:type="dxa"/>
            </w:tcMar>
            <w:vAlign w:val="center"/>
            <w:hideMark/>
          </w:tcPr>
          <w:p w14:paraId="46EC94F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SCÉNARIO 1</w:t>
            </w:r>
          </w:p>
        </w:tc>
        <w:tc>
          <w:tcPr>
            <w:tcW w:w="0" w:type="auto"/>
            <w:tcBorders>
              <w:top w:val="nil"/>
            </w:tcBorders>
            <w:tcMar>
              <w:top w:w="150" w:type="dxa"/>
              <w:left w:w="240" w:type="dxa"/>
              <w:bottom w:w="150" w:type="dxa"/>
              <w:right w:w="240" w:type="dxa"/>
            </w:tcMar>
            <w:vAlign w:val="center"/>
            <w:hideMark/>
          </w:tcPr>
          <w:p w14:paraId="7D1B3C1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SCÉNARIO 2</w:t>
            </w:r>
          </w:p>
        </w:tc>
        <w:tc>
          <w:tcPr>
            <w:tcW w:w="0" w:type="auto"/>
            <w:tcBorders>
              <w:top w:val="nil"/>
            </w:tcBorders>
            <w:tcMar>
              <w:top w:w="150" w:type="dxa"/>
              <w:left w:w="240" w:type="dxa"/>
              <w:bottom w:w="150" w:type="dxa"/>
              <w:right w:w="240" w:type="dxa"/>
            </w:tcMar>
            <w:vAlign w:val="center"/>
            <w:hideMark/>
          </w:tcPr>
          <w:p w14:paraId="18DE1ED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SCÉNARIO 3</w:t>
            </w:r>
          </w:p>
        </w:tc>
      </w:tr>
      <w:tr w:rsidR="003A416F" w:rsidRPr="003A416F" w14:paraId="3C712C56" w14:textId="77777777">
        <w:tc>
          <w:tcPr>
            <w:tcW w:w="0" w:type="auto"/>
            <w:tcMar>
              <w:top w:w="150" w:type="dxa"/>
              <w:left w:w="0" w:type="dxa"/>
              <w:bottom w:w="150" w:type="dxa"/>
              <w:right w:w="240" w:type="dxa"/>
            </w:tcMar>
            <w:vAlign w:val="center"/>
            <w:hideMark/>
          </w:tcPr>
          <w:p w14:paraId="6FA740E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Ajustement total</w:t>
            </w:r>
          </w:p>
        </w:tc>
        <w:tc>
          <w:tcPr>
            <w:tcW w:w="0" w:type="auto"/>
            <w:tcMar>
              <w:top w:w="150" w:type="dxa"/>
              <w:left w:w="240" w:type="dxa"/>
              <w:bottom w:w="150" w:type="dxa"/>
              <w:right w:w="240" w:type="dxa"/>
            </w:tcMar>
            <w:vAlign w:val="center"/>
            <w:hideMark/>
          </w:tcPr>
          <w:p w14:paraId="7E71DB45"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 points de PIB</w:t>
            </w:r>
          </w:p>
        </w:tc>
        <w:tc>
          <w:tcPr>
            <w:tcW w:w="0" w:type="auto"/>
            <w:tcMar>
              <w:top w:w="150" w:type="dxa"/>
              <w:left w:w="240" w:type="dxa"/>
              <w:bottom w:w="150" w:type="dxa"/>
              <w:right w:w="240" w:type="dxa"/>
            </w:tcMar>
            <w:vAlign w:val="center"/>
            <w:hideMark/>
          </w:tcPr>
          <w:p w14:paraId="70F5E1E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15 points de PIB</w:t>
            </w:r>
          </w:p>
        </w:tc>
        <w:tc>
          <w:tcPr>
            <w:tcW w:w="0" w:type="auto"/>
            <w:tcMar>
              <w:top w:w="150" w:type="dxa"/>
              <w:left w:w="240" w:type="dxa"/>
              <w:bottom w:w="150" w:type="dxa"/>
              <w:right w:w="0" w:type="dxa"/>
            </w:tcMar>
            <w:vAlign w:val="center"/>
            <w:hideMark/>
          </w:tcPr>
          <w:p w14:paraId="23E8FE5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10-12 points de PIB</w:t>
            </w:r>
          </w:p>
        </w:tc>
      </w:tr>
      <w:tr w:rsidR="003A416F" w:rsidRPr="003A416F" w14:paraId="71993196" w14:textId="77777777">
        <w:tc>
          <w:tcPr>
            <w:tcW w:w="0" w:type="auto"/>
            <w:tcMar>
              <w:top w:w="150" w:type="dxa"/>
              <w:left w:w="0" w:type="dxa"/>
              <w:bottom w:w="150" w:type="dxa"/>
              <w:right w:w="240" w:type="dxa"/>
            </w:tcMar>
            <w:vAlign w:val="center"/>
            <w:hideMark/>
          </w:tcPr>
          <w:p w14:paraId="5CBEC0F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Solde 2032</w:t>
            </w:r>
          </w:p>
        </w:tc>
        <w:tc>
          <w:tcPr>
            <w:tcW w:w="0" w:type="auto"/>
            <w:tcMar>
              <w:top w:w="150" w:type="dxa"/>
              <w:left w:w="240" w:type="dxa"/>
              <w:bottom w:w="150" w:type="dxa"/>
              <w:right w:w="240" w:type="dxa"/>
            </w:tcMar>
            <w:vAlign w:val="center"/>
            <w:hideMark/>
          </w:tcPr>
          <w:p w14:paraId="1CFCFEB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0 %</w:t>
            </w:r>
          </w:p>
        </w:tc>
        <w:tc>
          <w:tcPr>
            <w:tcW w:w="0" w:type="auto"/>
            <w:tcMar>
              <w:top w:w="150" w:type="dxa"/>
              <w:left w:w="240" w:type="dxa"/>
              <w:bottom w:w="150" w:type="dxa"/>
              <w:right w:w="240" w:type="dxa"/>
            </w:tcMar>
            <w:vAlign w:val="center"/>
            <w:hideMark/>
          </w:tcPr>
          <w:p w14:paraId="30C4CDE2"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+10 %</w:t>
            </w:r>
          </w:p>
        </w:tc>
        <w:tc>
          <w:tcPr>
            <w:tcW w:w="0" w:type="auto"/>
            <w:tcMar>
              <w:top w:w="150" w:type="dxa"/>
              <w:left w:w="240" w:type="dxa"/>
              <w:bottom w:w="150" w:type="dxa"/>
              <w:right w:w="0" w:type="dxa"/>
            </w:tcMar>
            <w:vAlign w:val="center"/>
            <w:hideMark/>
          </w:tcPr>
          <w:p w14:paraId="091B264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+3 %</w:t>
            </w:r>
          </w:p>
        </w:tc>
      </w:tr>
      <w:tr w:rsidR="003A416F" w:rsidRPr="003A416F" w14:paraId="5E3D5A0D" w14:textId="77777777">
        <w:tc>
          <w:tcPr>
            <w:tcW w:w="0" w:type="auto"/>
            <w:tcMar>
              <w:top w:w="150" w:type="dxa"/>
              <w:left w:w="0" w:type="dxa"/>
              <w:bottom w:w="150" w:type="dxa"/>
              <w:right w:w="240" w:type="dxa"/>
            </w:tcMar>
            <w:vAlign w:val="center"/>
            <w:hideMark/>
          </w:tcPr>
          <w:p w14:paraId="1D102AA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Dette 2032</w:t>
            </w:r>
          </w:p>
        </w:tc>
        <w:tc>
          <w:tcPr>
            <w:tcW w:w="0" w:type="auto"/>
            <w:tcMar>
              <w:top w:w="150" w:type="dxa"/>
              <w:left w:w="240" w:type="dxa"/>
              <w:bottom w:w="150" w:type="dxa"/>
              <w:right w:w="240" w:type="dxa"/>
            </w:tcMar>
            <w:vAlign w:val="center"/>
            <w:hideMark/>
          </w:tcPr>
          <w:p w14:paraId="103FFB9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107,5 %</w:t>
            </w:r>
          </w:p>
        </w:tc>
        <w:tc>
          <w:tcPr>
            <w:tcW w:w="0" w:type="auto"/>
            <w:tcMar>
              <w:top w:w="150" w:type="dxa"/>
              <w:left w:w="240" w:type="dxa"/>
              <w:bottom w:w="150" w:type="dxa"/>
              <w:right w:w="240" w:type="dxa"/>
            </w:tcMar>
            <w:vAlign w:val="center"/>
            <w:hideMark/>
          </w:tcPr>
          <w:p w14:paraId="01A3A3E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82 %</w:t>
            </w:r>
          </w:p>
        </w:tc>
        <w:tc>
          <w:tcPr>
            <w:tcW w:w="0" w:type="auto"/>
            <w:tcMar>
              <w:top w:w="150" w:type="dxa"/>
              <w:left w:w="240" w:type="dxa"/>
              <w:bottom w:w="150" w:type="dxa"/>
              <w:right w:w="0" w:type="dxa"/>
            </w:tcMar>
            <w:vAlign w:val="center"/>
            <w:hideMark/>
          </w:tcPr>
          <w:p w14:paraId="7DD48D4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100 %</w:t>
            </w:r>
          </w:p>
        </w:tc>
      </w:tr>
      <w:tr w:rsidR="003A416F" w:rsidRPr="003A416F" w14:paraId="41C592C1" w14:textId="77777777">
        <w:tc>
          <w:tcPr>
            <w:tcW w:w="0" w:type="auto"/>
            <w:tcMar>
              <w:top w:w="150" w:type="dxa"/>
              <w:left w:w="0" w:type="dxa"/>
              <w:bottom w:w="150" w:type="dxa"/>
              <w:right w:w="240" w:type="dxa"/>
            </w:tcMar>
            <w:vAlign w:val="center"/>
            <w:hideMark/>
          </w:tcPr>
          <w:p w14:paraId="72B4880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Économies nettes</w:t>
            </w:r>
          </w:p>
        </w:tc>
        <w:tc>
          <w:tcPr>
            <w:tcW w:w="0" w:type="auto"/>
            <w:tcMar>
              <w:top w:w="150" w:type="dxa"/>
              <w:left w:w="240" w:type="dxa"/>
              <w:bottom w:w="150" w:type="dxa"/>
              <w:right w:w="240" w:type="dxa"/>
            </w:tcMar>
            <w:vAlign w:val="center"/>
            <w:hideMark/>
          </w:tcPr>
          <w:p w14:paraId="12D25BB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100 Mds€</w:t>
            </w:r>
          </w:p>
        </w:tc>
        <w:tc>
          <w:tcPr>
            <w:tcW w:w="0" w:type="auto"/>
            <w:tcMar>
              <w:top w:w="150" w:type="dxa"/>
              <w:left w:w="240" w:type="dxa"/>
              <w:bottom w:w="150" w:type="dxa"/>
              <w:right w:w="240" w:type="dxa"/>
            </w:tcMar>
            <w:vAlign w:val="center"/>
            <w:hideMark/>
          </w:tcPr>
          <w:p w14:paraId="2B145A2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200 Mds€</w:t>
            </w:r>
          </w:p>
        </w:tc>
        <w:tc>
          <w:tcPr>
            <w:tcW w:w="0" w:type="auto"/>
            <w:tcMar>
              <w:top w:w="150" w:type="dxa"/>
              <w:left w:w="240" w:type="dxa"/>
              <w:bottom w:w="150" w:type="dxa"/>
              <w:right w:w="0" w:type="dxa"/>
            </w:tcMar>
            <w:vAlign w:val="center"/>
            <w:hideMark/>
          </w:tcPr>
          <w:p w14:paraId="46D3ADF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150 Mds€</w:t>
            </w:r>
          </w:p>
        </w:tc>
      </w:tr>
      <w:tr w:rsidR="003A416F" w:rsidRPr="003A416F" w14:paraId="6DC444E3" w14:textId="77777777">
        <w:tc>
          <w:tcPr>
            <w:tcW w:w="0" w:type="auto"/>
            <w:tcMar>
              <w:top w:w="150" w:type="dxa"/>
              <w:left w:w="0" w:type="dxa"/>
              <w:bottom w:w="150" w:type="dxa"/>
              <w:right w:w="240" w:type="dxa"/>
            </w:tcMar>
            <w:vAlign w:val="center"/>
            <w:hideMark/>
          </w:tcPr>
          <w:p w14:paraId="539BCE8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Recettes nouvelles</w:t>
            </w:r>
          </w:p>
        </w:tc>
        <w:tc>
          <w:tcPr>
            <w:tcW w:w="0" w:type="auto"/>
            <w:tcMar>
              <w:top w:w="150" w:type="dxa"/>
              <w:left w:w="240" w:type="dxa"/>
              <w:bottom w:w="150" w:type="dxa"/>
              <w:right w:w="240" w:type="dxa"/>
            </w:tcMar>
            <w:vAlign w:val="center"/>
            <w:hideMark/>
          </w:tcPr>
          <w:p w14:paraId="1B4EF7C6"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 Mds€</w:t>
            </w:r>
          </w:p>
        </w:tc>
        <w:tc>
          <w:tcPr>
            <w:tcW w:w="0" w:type="auto"/>
            <w:tcMar>
              <w:top w:w="150" w:type="dxa"/>
              <w:left w:w="240" w:type="dxa"/>
              <w:bottom w:w="150" w:type="dxa"/>
              <w:right w:w="240" w:type="dxa"/>
            </w:tcMar>
            <w:vAlign w:val="center"/>
            <w:hideMark/>
          </w:tcPr>
          <w:p w14:paraId="3F841B88"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100 Mds€</w:t>
            </w:r>
          </w:p>
        </w:tc>
        <w:tc>
          <w:tcPr>
            <w:tcW w:w="0" w:type="auto"/>
            <w:tcMar>
              <w:top w:w="150" w:type="dxa"/>
              <w:left w:w="240" w:type="dxa"/>
              <w:bottom w:w="150" w:type="dxa"/>
              <w:right w:w="0" w:type="dxa"/>
            </w:tcMar>
            <w:vAlign w:val="center"/>
            <w:hideMark/>
          </w:tcPr>
          <w:p w14:paraId="4A20F78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 Mds€</w:t>
            </w:r>
          </w:p>
        </w:tc>
      </w:tr>
      <w:tr w:rsidR="003A416F" w:rsidRPr="003A416F" w14:paraId="1923E1FD" w14:textId="77777777">
        <w:tc>
          <w:tcPr>
            <w:tcW w:w="0" w:type="auto"/>
            <w:tcMar>
              <w:top w:w="150" w:type="dxa"/>
              <w:left w:w="0" w:type="dxa"/>
              <w:bottom w:w="150" w:type="dxa"/>
              <w:right w:w="240" w:type="dxa"/>
            </w:tcMar>
            <w:vAlign w:val="center"/>
            <w:hideMark/>
          </w:tcPr>
          <w:p w14:paraId="1D93B2A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Investissement public</w:t>
            </w:r>
          </w:p>
        </w:tc>
        <w:tc>
          <w:tcPr>
            <w:tcW w:w="0" w:type="auto"/>
            <w:tcMar>
              <w:top w:w="150" w:type="dxa"/>
              <w:left w:w="240" w:type="dxa"/>
              <w:bottom w:w="150" w:type="dxa"/>
              <w:right w:w="240" w:type="dxa"/>
            </w:tcMar>
            <w:vAlign w:val="center"/>
            <w:hideMark/>
          </w:tcPr>
          <w:p w14:paraId="463A543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Maintenu</w:t>
            </w:r>
          </w:p>
        </w:tc>
        <w:tc>
          <w:tcPr>
            <w:tcW w:w="0" w:type="auto"/>
            <w:tcMar>
              <w:top w:w="150" w:type="dxa"/>
              <w:left w:w="240" w:type="dxa"/>
              <w:bottom w:w="150" w:type="dxa"/>
              <w:right w:w="240" w:type="dxa"/>
            </w:tcMar>
            <w:vAlign w:val="center"/>
            <w:hideMark/>
          </w:tcPr>
          <w:p w14:paraId="46BD92C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Réduit de 50 %</w:t>
            </w:r>
          </w:p>
        </w:tc>
        <w:tc>
          <w:tcPr>
            <w:tcW w:w="0" w:type="auto"/>
            <w:tcMar>
              <w:top w:w="150" w:type="dxa"/>
              <w:left w:w="240" w:type="dxa"/>
              <w:bottom w:w="150" w:type="dxa"/>
              <w:right w:w="0" w:type="dxa"/>
            </w:tcMar>
            <w:vAlign w:val="center"/>
            <w:hideMark/>
          </w:tcPr>
          <w:p w14:paraId="71B3C89B"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Légèrement réduit</w:t>
            </w:r>
          </w:p>
        </w:tc>
      </w:tr>
      <w:tr w:rsidR="003A416F" w:rsidRPr="003A416F" w14:paraId="3B2B07F0" w14:textId="77777777">
        <w:tc>
          <w:tcPr>
            <w:tcW w:w="0" w:type="auto"/>
            <w:tcMar>
              <w:top w:w="150" w:type="dxa"/>
              <w:left w:w="0" w:type="dxa"/>
              <w:bottom w:w="150" w:type="dxa"/>
              <w:right w:w="240" w:type="dxa"/>
            </w:tcMar>
            <w:vAlign w:val="center"/>
            <w:hideMark/>
          </w:tcPr>
          <w:p w14:paraId="10A16E2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Emploi 2032</w:t>
            </w:r>
          </w:p>
        </w:tc>
        <w:tc>
          <w:tcPr>
            <w:tcW w:w="0" w:type="auto"/>
            <w:tcMar>
              <w:top w:w="150" w:type="dxa"/>
              <w:left w:w="240" w:type="dxa"/>
              <w:bottom w:w="150" w:type="dxa"/>
              <w:right w:w="240" w:type="dxa"/>
            </w:tcMar>
            <w:vAlign w:val="center"/>
            <w:hideMark/>
          </w:tcPr>
          <w:p w14:paraId="1C0C377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+500 000 créations</w:t>
            </w:r>
          </w:p>
        </w:tc>
        <w:tc>
          <w:tcPr>
            <w:tcW w:w="0" w:type="auto"/>
            <w:tcMar>
              <w:top w:w="150" w:type="dxa"/>
              <w:left w:w="240" w:type="dxa"/>
              <w:bottom w:w="150" w:type="dxa"/>
              <w:right w:w="240" w:type="dxa"/>
            </w:tcMar>
            <w:vAlign w:val="center"/>
            <w:hideMark/>
          </w:tcPr>
          <w:p w14:paraId="1BB9CEB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-1 million d’emplois</w:t>
            </w:r>
          </w:p>
        </w:tc>
        <w:tc>
          <w:tcPr>
            <w:tcW w:w="0" w:type="auto"/>
            <w:tcMar>
              <w:top w:w="150" w:type="dxa"/>
              <w:left w:w="240" w:type="dxa"/>
              <w:bottom w:w="150" w:type="dxa"/>
              <w:right w:w="0" w:type="dxa"/>
            </w:tcMar>
            <w:vAlign w:val="center"/>
            <w:hideMark/>
          </w:tcPr>
          <w:p w14:paraId="423D0D1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-200 000 emplois</w:t>
            </w:r>
          </w:p>
        </w:tc>
      </w:tr>
      <w:tr w:rsidR="003A416F" w:rsidRPr="003A416F" w14:paraId="3B04866A" w14:textId="77777777">
        <w:tc>
          <w:tcPr>
            <w:tcW w:w="0" w:type="auto"/>
            <w:tcMar>
              <w:top w:w="150" w:type="dxa"/>
              <w:left w:w="0" w:type="dxa"/>
              <w:bottom w:w="150" w:type="dxa"/>
              <w:right w:w="240" w:type="dxa"/>
            </w:tcMar>
            <w:vAlign w:val="center"/>
            <w:hideMark/>
          </w:tcPr>
          <w:p w14:paraId="7CDC55F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lastRenderedPageBreak/>
              <w:t>Inégalités</w:t>
            </w:r>
          </w:p>
        </w:tc>
        <w:tc>
          <w:tcPr>
            <w:tcW w:w="0" w:type="auto"/>
            <w:tcMar>
              <w:top w:w="150" w:type="dxa"/>
              <w:left w:w="240" w:type="dxa"/>
              <w:bottom w:w="150" w:type="dxa"/>
              <w:right w:w="240" w:type="dxa"/>
            </w:tcMar>
            <w:vAlign w:val="center"/>
            <w:hideMark/>
          </w:tcPr>
          <w:p w14:paraId="2BDA74B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Stables</w:t>
            </w:r>
          </w:p>
        </w:tc>
        <w:tc>
          <w:tcPr>
            <w:tcW w:w="0" w:type="auto"/>
            <w:tcMar>
              <w:top w:w="150" w:type="dxa"/>
              <w:left w:w="240" w:type="dxa"/>
              <w:bottom w:w="150" w:type="dxa"/>
              <w:right w:w="240" w:type="dxa"/>
            </w:tcMar>
            <w:vAlign w:val="center"/>
            <w:hideMark/>
          </w:tcPr>
          <w:p w14:paraId="76BB784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Forte hausse</w:t>
            </w:r>
          </w:p>
        </w:tc>
        <w:tc>
          <w:tcPr>
            <w:tcW w:w="0" w:type="auto"/>
            <w:tcMar>
              <w:top w:w="150" w:type="dxa"/>
              <w:left w:w="240" w:type="dxa"/>
              <w:bottom w:w="150" w:type="dxa"/>
              <w:right w:w="0" w:type="dxa"/>
            </w:tcMar>
            <w:vAlign w:val="center"/>
            <w:hideMark/>
          </w:tcPr>
          <w:p w14:paraId="1102FF30"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Hausse modérée</w:t>
            </w:r>
          </w:p>
        </w:tc>
      </w:tr>
      <w:tr w:rsidR="003A416F" w:rsidRPr="003A416F" w14:paraId="776C6681" w14:textId="77777777">
        <w:tc>
          <w:tcPr>
            <w:tcW w:w="0" w:type="auto"/>
            <w:tcMar>
              <w:top w:w="150" w:type="dxa"/>
              <w:left w:w="0" w:type="dxa"/>
              <w:bottom w:w="150" w:type="dxa"/>
              <w:right w:w="240" w:type="dxa"/>
            </w:tcMar>
            <w:vAlign w:val="center"/>
            <w:hideMark/>
          </w:tcPr>
          <w:p w14:paraId="37A57044"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Faisabilité politique</w:t>
            </w:r>
          </w:p>
        </w:tc>
        <w:tc>
          <w:tcPr>
            <w:tcW w:w="0" w:type="auto"/>
            <w:tcMar>
              <w:top w:w="150" w:type="dxa"/>
              <w:left w:w="240" w:type="dxa"/>
              <w:bottom w:w="150" w:type="dxa"/>
              <w:right w:w="240" w:type="dxa"/>
            </w:tcMar>
            <w:vAlign w:val="center"/>
            <w:hideMark/>
          </w:tcPr>
          <w:p w14:paraId="60D0BFC9"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Difficile</w:t>
            </w:r>
          </w:p>
        </w:tc>
        <w:tc>
          <w:tcPr>
            <w:tcW w:w="0" w:type="auto"/>
            <w:tcMar>
              <w:top w:w="150" w:type="dxa"/>
              <w:left w:w="240" w:type="dxa"/>
              <w:bottom w:w="150" w:type="dxa"/>
              <w:right w:w="240" w:type="dxa"/>
            </w:tcMar>
            <w:vAlign w:val="center"/>
            <w:hideMark/>
          </w:tcPr>
          <w:p w14:paraId="435A6F1E"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Impossible</w:t>
            </w:r>
          </w:p>
        </w:tc>
        <w:tc>
          <w:tcPr>
            <w:tcW w:w="0" w:type="auto"/>
            <w:tcMar>
              <w:top w:w="150" w:type="dxa"/>
              <w:left w:w="240" w:type="dxa"/>
              <w:bottom w:w="150" w:type="dxa"/>
              <w:right w:w="0" w:type="dxa"/>
            </w:tcMar>
            <w:vAlign w:val="center"/>
            <w:hideMark/>
          </w:tcPr>
          <w:p w14:paraId="7F65975A"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Très difficile</w:t>
            </w:r>
          </w:p>
        </w:tc>
      </w:tr>
      <w:tr w:rsidR="003A416F" w:rsidRPr="003A416F" w14:paraId="4ABB83E5" w14:textId="77777777">
        <w:tc>
          <w:tcPr>
            <w:tcW w:w="0" w:type="auto"/>
            <w:tcMar>
              <w:top w:w="150" w:type="dxa"/>
              <w:left w:w="0" w:type="dxa"/>
              <w:bottom w:w="150" w:type="dxa"/>
              <w:right w:w="240" w:type="dxa"/>
            </w:tcMar>
            <w:vAlign w:val="center"/>
            <w:hideMark/>
          </w:tcPr>
          <w:p w14:paraId="14A56B0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Risque de récession</w:t>
            </w:r>
          </w:p>
        </w:tc>
        <w:tc>
          <w:tcPr>
            <w:tcW w:w="0" w:type="auto"/>
            <w:tcMar>
              <w:top w:w="150" w:type="dxa"/>
              <w:left w:w="240" w:type="dxa"/>
              <w:bottom w:w="150" w:type="dxa"/>
              <w:right w:w="240" w:type="dxa"/>
            </w:tcMar>
            <w:vAlign w:val="center"/>
            <w:hideMark/>
          </w:tcPr>
          <w:p w14:paraId="29070737"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Faible</w:t>
            </w:r>
          </w:p>
        </w:tc>
        <w:tc>
          <w:tcPr>
            <w:tcW w:w="0" w:type="auto"/>
            <w:tcMar>
              <w:top w:w="150" w:type="dxa"/>
              <w:left w:w="240" w:type="dxa"/>
              <w:bottom w:w="150" w:type="dxa"/>
              <w:right w:w="240" w:type="dxa"/>
            </w:tcMar>
            <w:vAlign w:val="center"/>
            <w:hideMark/>
          </w:tcPr>
          <w:p w14:paraId="0DAC9A8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Élevé</w:t>
            </w:r>
          </w:p>
        </w:tc>
        <w:tc>
          <w:tcPr>
            <w:tcW w:w="0" w:type="auto"/>
            <w:tcMar>
              <w:top w:w="150" w:type="dxa"/>
              <w:left w:w="240" w:type="dxa"/>
              <w:bottom w:w="150" w:type="dxa"/>
              <w:right w:w="0" w:type="dxa"/>
            </w:tcMar>
            <w:vAlign w:val="center"/>
            <w:hideMark/>
          </w:tcPr>
          <w:p w14:paraId="31B01251"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Modéré</w:t>
            </w:r>
          </w:p>
        </w:tc>
      </w:tr>
      <w:tr w:rsidR="003A416F" w:rsidRPr="003A416F" w14:paraId="3E8C5C2B" w14:textId="77777777">
        <w:tc>
          <w:tcPr>
            <w:tcW w:w="0" w:type="auto"/>
            <w:tcMar>
              <w:top w:w="150" w:type="dxa"/>
              <w:left w:w="0" w:type="dxa"/>
              <w:bottom w:w="150" w:type="dxa"/>
              <w:right w:w="240" w:type="dxa"/>
            </w:tcMar>
            <w:vAlign w:val="center"/>
            <w:hideMark/>
          </w:tcPr>
          <w:p w14:paraId="16BFB333"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b/>
                <w:bCs/>
                <w:kern w:val="0"/>
                <w:sz w:val="23"/>
                <w:szCs w:val="23"/>
                <w:lang w:eastAsia="fr-FR"/>
                <w14:ligatures w14:val="none"/>
              </w:rPr>
              <w:t>Soutenabilité long terme</w:t>
            </w:r>
          </w:p>
        </w:tc>
        <w:tc>
          <w:tcPr>
            <w:tcW w:w="0" w:type="auto"/>
            <w:tcMar>
              <w:top w:w="150" w:type="dxa"/>
              <w:left w:w="240" w:type="dxa"/>
              <w:bottom w:w="150" w:type="dxa"/>
              <w:right w:w="240" w:type="dxa"/>
            </w:tcMar>
            <w:vAlign w:val="center"/>
            <w:hideMark/>
          </w:tcPr>
          <w:p w14:paraId="534A582F"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Bonne</w:t>
            </w:r>
          </w:p>
        </w:tc>
        <w:tc>
          <w:tcPr>
            <w:tcW w:w="0" w:type="auto"/>
            <w:tcMar>
              <w:top w:w="150" w:type="dxa"/>
              <w:left w:w="240" w:type="dxa"/>
              <w:bottom w:w="150" w:type="dxa"/>
              <w:right w:w="240" w:type="dxa"/>
            </w:tcMar>
            <w:vAlign w:val="center"/>
            <w:hideMark/>
          </w:tcPr>
          <w:p w14:paraId="6625E6CD"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Très mauvaise</w:t>
            </w:r>
          </w:p>
        </w:tc>
        <w:tc>
          <w:tcPr>
            <w:tcW w:w="0" w:type="auto"/>
            <w:tcMar>
              <w:top w:w="150" w:type="dxa"/>
              <w:left w:w="240" w:type="dxa"/>
              <w:bottom w:w="150" w:type="dxa"/>
              <w:right w:w="0" w:type="dxa"/>
            </w:tcMar>
            <w:vAlign w:val="center"/>
            <w:hideMark/>
          </w:tcPr>
          <w:p w14:paraId="57143D9C" w14:textId="77777777" w:rsidR="003A416F" w:rsidRPr="003A416F" w:rsidRDefault="003A416F" w:rsidP="003A416F">
            <w:pPr>
              <w:spacing w:after="0" w:line="375" w:lineRule="atLeast"/>
              <w:rPr>
                <w:rFonts w:ascii="Segoe UI" w:eastAsia="Times New Roman" w:hAnsi="Segoe UI" w:cs="Segoe UI"/>
                <w:kern w:val="0"/>
                <w:sz w:val="23"/>
                <w:szCs w:val="23"/>
                <w:lang w:eastAsia="fr-FR"/>
                <w14:ligatures w14:val="none"/>
              </w:rPr>
            </w:pPr>
            <w:r w:rsidRPr="003A416F">
              <w:rPr>
                <w:rFonts w:ascii="Segoe UI" w:eastAsia="Times New Roman" w:hAnsi="Segoe UI" w:cs="Segoe UI"/>
                <w:kern w:val="0"/>
                <w:sz w:val="23"/>
                <w:szCs w:val="23"/>
                <w:lang w:eastAsia="fr-FR"/>
                <w14:ligatures w14:val="none"/>
              </w:rPr>
              <w:t>Très bonne (dette maîtrisée)</w:t>
            </w:r>
          </w:p>
        </w:tc>
      </w:tr>
    </w:tbl>
    <w:p w14:paraId="29B8B6F0"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1C598D3A">
          <v:rect id="_x0000_i1035" style="width:0;height:.75pt" o:hralign="center" o:hrstd="t" o:hr="t" fillcolor="#a0a0a0" stroked="f"/>
        </w:pict>
      </w:r>
    </w:p>
    <w:p w14:paraId="2E4EDC72"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9. AUDIT COMPTABLE ET RECONCILIATION</w:t>
      </w:r>
    </w:p>
    <w:p w14:paraId="226BD14A"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Vérification pour le Scénario 1 :</w:t>
      </w:r>
    </w:p>
    <w:p w14:paraId="1D48CF7D"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Économies totales (2027-2032) : 100 Mds€</w:t>
      </w:r>
    </w:p>
    <w:p w14:paraId="0D4CAC74"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Recettes nouvelles : 50 Mds€</w:t>
      </w:r>
    </w:p>
    <w:p w14:paraId="5180A0E7"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Effet macroéconomique (croissance) : 30 Mds€ (recettes induites)</w:t>
      </w:r>
    </w:p>
    <w:p w14:paraId="4EA991B0"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Effet du désendettement sur la charge de la dette : -5 Mds€ (baisse des intérêts)</w:t>
      </w:r>
    </w:p>
    <w:p w14:paraId="5A46E99F"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Nouvelles dépenses d’investissement (R&amp;D, défense) : 20 Mds€</w:t>
      </w:r>
    </w:p>
    <w:p w14:paraId="6D7D6D0C" w14:textId="77777777" w:rsidR="003A416F" w:rsidRPr="003A416F" w:rsidRDefault="003A416F" w:rsidP="003A416F">
      <w:pPr>
        <w:numPr>
          <w:ilvl w:val="0"/>
          <w:numId w:val="11"/>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Amélioration effective du solde</w:t>
      </w:r>
      <w:r w:rsidRPr="003A416F">
        <w:rPr>
          <w:rFonts w:ascii="Segoe UI" w:eastAsia="Times New Roman" w:hAnsi="Segoe UI" w:cs="Segoe UI"/>
          <w:color w:val="0F1115"/>
          <w:kern w:val="0"/>
          <w:lang w:eastAsia="fr-FR"/>
          <w14:ligatures w14:val="none"/>
        </w:rPr>
        <w:t> = 100 + 50 + 30 - 20 = </w:t>
      </w:r>
      <w:r w:rsidRPr="003A416F">
        <w:rPr>
          <w:rFonts w:ascii="Segoe UI" w:eastAsia="Times New Roman" w:hAnsi="Segoe UI" w:cs="Segoe UI"/>
          <w:b/>
          <w:bCs/>
          <w:color w:val="0F1115"/>
          <w:kern w:val="0"/>
          <w:lang w:eastAsia="fr-FR"/>
          <w14:ligatures w14:val="none"/>
        </w:rPr>
        <w:t>160 Mds€</w:t>
      </w:r>
      <w:r w:rsidRPr="003A416F">
        <w:rPr>
          <w:rFonts w:ascii="Segoe UI" w:eastAsia="Times New Roman" w:hAnsi="Segoe UI" w:cs="Segoe UI"/>
          <w:color w:val="0F1115"/>
          <w:kern w:val="0"/>
          <w:lang w:eastAsia="fr-FR"/>
          <w14:ligatures w14:val="none"/>
        </w:rPr>
        <w:t>, soit environ 5 points de PIB. Il manque 3 points de PIB (90 Mds€) pour atteindre 0 %, qui seront comblés par des économies additionnelles en 2031-2032.</w:t>
      </w:r>
    </w:p>
    <w:p w14:paraId="7FCD61F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Vérification pour le Scénario 3 :</w:t>
      </w:r>
    </w:p>
    <w:p w14:paraId="05341D45"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Économies : 150 Mds€</w:t>
      </w:r>
    </w:p>
    <w:p w14:paraId="3B53A021"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Recettes : 50 Mds€</w:t>
      </w:r>
    </w:p>
    <w:p w14:paraId="1232F772"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Effet croissance : 40 Mds€</w:t>
      </w:r>
    </w:p>
    <w:p w14:paraId="484B81A4"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Investissements nouveaux : 20 Mds€</w:t>
      </w:r>
    </w:p>
    <w:p w14:paraId="13B95762"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color w:val="0F1115"/>
          <w:kern w:val="0"/>
          <w:lang w:eastAsia="fr-FR"/>
          <w14:ligatures w14:val="none"/>
        </w:rPr>
        <w:t>Effet désendettement : -10 Mds€</w:t>
      </w:r>
    </w:p>
    <w:p w14:paraId="485A062B" w14:textId="77777777" w:rsidR="003A416F" w:rsidRPr="003A416F" w:rsidRDefault="003A416F" w:rsidP="003A416F">
      <w:pPr>
        <w:numPr>
          <w:ilvl w:val="0"/>
          <w:numId w:val="12"/>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Amélioration effective</w:t>
      </w:r>
      <w:r w:rsidRPr="003A416F">
        <w:rPr>
          <w:rFonts w:ascii="Segoe UI" w:eastAsia="Times New Roman" w:hAnsi="Segoe UI" w:cs="Segoe UI"/>
          <w:color w:val="0F1115"/>
          <w:kern w:val="0"/>
          <w:lang w:eastAsia="fr-FR"/>
          <w14:ligatures w14:val="none"/>
        </w:rPr>
        <w:t> = 150+50+40-20+10 = 230 Mds€ → solde de +3 % du PIB. Cible atteinte.</w:t>
      </w:r>
    </w:p>
    <w:p w14:paraId="40AB88F8"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41D749D5">
          <v:rect id="_x0000_i1034" alt="" style="width:453.6pt;height:.05pt;mso-width-percent:0;mso-height-percent:0;mso-width-percent:0;mso-height-percent:0" o:hralign="center" o:hrstd="t" o:hr="t" fillcolor="#a0a0a0" stroked="f"/>
        </w:pict>
      </w:r>
    </w:p>
    <w:p w14:paraId="0FB27AC6" w14:textId="77777777" w:rsidR="003A416F" w:rsidRPr="003A416F" w:rsidRDefault="003A416F" w:rsidP="003A416F">
      <w:pPr>
        <w:shd w:val="clear" w:color="auto" w:fill="FFFFFF"/>
        <w:spacing w:before="480" w:after="240" w:line="480" w:lineRule="atLeast"/>
        <w:outlineLvl w:val="1"/>
        <w:rPr>
          <w:rFonts w:ascii="Segoe UI" w:eastAsia="Times New Roman" w:hAnsi="Segoe UI" w:cs="Segoe UI"/>
          <w:b/>
          <w:bCs/>
          <w:color w:val="0F1115"/>
          <w:kern w:val="0"/>
          <w:sz w:val="33"/>
          <w:szCs w:val="33"/>
          <w:lang w:eastAsia="fr-FR"/>
          <w14:ligatures w14:val="none"/>
        </w:rPr>
      </w:pPr>
      <w:r w:rsidRPr="003A416F">
        <w:rPr>
          <w:rFonts w:ascii="Segoe UI" w:eastAsia="Times New Roman" w:hAnsi="Segoe UI" w:cs="Segoe UI"/>
          <w:b/>
          <w:bCs/>
          <w:color w:val="0F1115"/>
          <w:kern w:val="0"/>
          <w:sz w:val="33"/>
          <w:szCs w:val="33"/>
          <w:lang w:eastAsia="fr-FR"/>
          <w14:ligatures w14:val="none"/>
        </w:rPr>
        <w:t>10. CONCLUSION ET RECOMMANDATION</w:t>
      </w:r>
    </w:p>
    <w:p w14:paraId="4D1CA7E4"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lastRenderedPageBreak/>
        <w:t>Synthèse des réponses aux questions posées :</w:t>
      </w:r>
    </w:p>
    <w:p w14:paraId="5F61A4E0" w14:textId="77777777" w:rsidR="003A416F" w:rsidRPr="003A416F" w:rsidRDefault="003A416F" w:rsidP="003A416F">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1</w:t>
      </w:r>
      <w:r w:rsidRPr="003A416F">
        <w:rPr>
          <w:rFonts w:ascii="Segoe UI" w:eastAsia="Times New Roman" w:hAnsi="Segoe UI" w:cs="Segoe UI"/>
          <w:color w:val="0F1115"/>
          <w:kern w:val="0"/>
          <w:lang w:eastAsia="fr-FR"/>
          <w14:ligatures w14:val="none"/>
        </w:rPr>
        <w:t> : Atteignable sous conditions (réformes dès 2027, exécution parfaite, stabilité politique). C’est la voie la plus prudente.</w:t>
      </w:r>
    </w:p>
    <w:p w14:paraId="3FFF176B" w14:textId="77777777" w:rsidR="003A416F" w:rsidRPr="003A416F" w:rsidRDefault="003A416F" w:rsidP="003A416F">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2</w:t>
      </w:r>
      <w:r w:rsidRPr="003A416F">
        <w:rPr>
          <w:rFonts w:ascii="Segoe UI" w:eastAsia="Times New Roman" w:hAnsi="Segoe UI" w:cs="Segoe UI"/>
          <w:color w:val="0F1115"/>
          <w:kern w:val="0"/>
          <w:lang w:eastAsia="fr-FR"/>
          <w14:ligatures w14:val="none"/>
        </w:rPr>
        <w:t> : Mathématiquement impossible sans croissance délirante ; économiquement destructeur. Excédent maximal raisonnable : 2 à 3 % du PIB.</w:t>
      </w:r>
    </w:p>
    <w:p w14:paraId="383228E1" w14:textId="77777777" w:rsidR="003A416F" w:rsidRPr="003A416F" w:rsidRDefault="003A416F" w:rsidP="003A416F">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Scénario 3</w:t>
      </w:r>
      <w:r w:rsidRPr="003A416F">
        <w:rPr>
          <w:rFonts w:ascii="Segoe UI" w:eastAsia="Times New Roman" w:hAnsi="Segoe UI" w:cs="Segoe UI"/>
          <w:color w:val="0F1115"/>
          <w:kern w:val="0"/>
          <w:lang w:eastAsia="fr-FR"/>
          <w14:ligatures w14:val="none"/>
        </w:rPr>
        <w:t> : Atteignable, mais 60 % de la réduction de la dette provient de la croissance nominale, 40 % des excédents. Les cessions d’actifs ne doivent pas masquer un désendettement fictif.</w:t>
      </w:r>
    </w:p>
    <w:p w14:paraId="775724BD" w14:textId="77777777" w:rsidR="003A416F" w:rsidRPr="003A416F" w:rsidRDefault="003A416F" w:rsidP="003A416F">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Prix économique et social</w:t>
      </w:r>
      <w:r w:rsidRPr="003A416F">
        <w:rPr>
          <w:rFonts w:ascii="Segoe UI" w:eastAsia="Times New Roman" w:hAnsi="Segoe UI" w:cs="Segoe UI"/>
          <w:color w:val="0F1115"/>
          <w:kern w:val="0"/>
          <w:lang w:eastAsia="fr-FR"/>
          <w14:ligatures w14:val="none"/>
        </w:rPr>
        <w:t> : Le scénario 1 est le moins coûteux socialement. Le scénario 2 est un suicide collectif. Le scénario 3 exige une rigueur qui pourrait peser sur les classes moyennes.</w:t>
      </w:r>
    </w:p>
    <w:p w14:paraId="6529612A" w14:textId="77777777" w:rsidR="003A416F" w:rsidRPr="003A416F" w:rsidRDefault="003A416F" w:rsidP="003A416F">
      <w:pPr>
        <w:numPr>
          <w:ilvl w:val="0"/>
          <w:numId w:val="13"/>
        </w:numPr>
        <w:shd w:val="clear" w:color="auto" w:fill="FFFFFF"/>
        <w:spacing w:after="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Recommandation</w:t>
      </w:r>
      <w:r w:rsidRPr="003A416F">
        <w:rPr>
          <w:rFonts w:ascii="Segoe UI" w:eastAsia="Times New Roman" w:hAnsi="Segoe UI" w:cs="Segoe UI"/>
          <w:color w:val="0F1115"/>
          <w:kern w:val="0"/>
          <w:lang w:eastAsia="fr-FR"/>
          <w14:ligatures w14:val="none"/>
        </w:rPr>
        <w:t> : </w:t>
      </w:r>
      <w:r w:rsidRPr="003A416F">
        <w:rPr>
          <w:rFonts w:ascii="Segoe UI" w:eastAsia="Times New Roman" w:hAnsi="Segoe UI" w:cs="Segoe UI"/>
          <w:b/>
          <w:bCs/>
          <w:color w:val="0F1115"/>
          <w:kern w:val="0"/>
          <w:lang w:eastAsia="fr-FR"/>
          <w14:ligatures w14:val="none"/>
        </w:rPr>
        <w:t>Adopter le Scénario 1</w:t>
      </w:r>
      <w:r w:rsidRPr="003A416F">
        <w:rPr>
          <w:rFonts w:ascii="Segoe UI" w:eastAsia="Times New Roman" w:hAnsi="Segoe UI" w:cs="Segoe UI"/>
          <w:color w:val="0F1115"/>
          <w:kern w:val="0"/>
          <w:lang w:eastAsia="fr-FR"/>
          <w14:ligatures w14:val="none"/>
        </w:rPr>
        <w:t> comme objectif central, avec un pilotage flexible permettant de saisir les opportunités de croissance pour accélérer le désendettement (Scénario 3). La France doit sortir de l’ornière par une </w:t>
      </w:r>
      <w:r w:rsidRPr="003A416F">
        <w:rPr>
          <w:rFonts w:ascii="Segoe UI" w:eastAsia="Times New Roman" w:hAnsi="Segoe UI" w:cs="Segoe UI"/>
          <w:b/>
          <w:bCs/>
          <w:color w:val="0F1115"/>
          <w:kern w:val="0"/>
          <w:lang w:eastAsia="fr-FR"/>
          <w14:ligatures w14:val="none"/>
        </w:rPr>
        <w:t>stratégie de compétitivité-désendettement</w:t>
      </w:r>
      <w:r w:rsidRPr="003A416F">
        <w:rPr>
          <w:rFonts w:ascii="Segoe UI" w:eastAsia="Times New Roman" w:hAnsi="Segoe UI" w:cs="Segoe UI"/>
          <w:color w:val="0F1115"/>
          <w:kern w:val="0"/>
          <w:lang w:eastAsia="fr-FR"/>
          <w14:ligatures w14:val="none"/>
        </w:rPr>
        <w:t>, en investissant massivement dans l’innovation.</w:t>
      </w:r>
    </w:p>
    <w:p w14:paraId="7F8187DB"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Verdict final :</w:t>
      </w:r>
      <w:r w:rsidRPr="003A416F">
        <w:rPr>
          <w:rFonts w:ascii="Segoe UI" w:eastAsia="Times New Roman" w:hAnsi="Segoe UI" w:cs="Segoe UI"/>
          <w:color w:val="0F1115"/>
          <w:kern w:val="0"/>
          <w:lang w:eastAsia="fr-FR"/>
          <w14:ligatures w14:val="none"/>
        </w:rPr>
        <w:t> La France n’a d’autre choix que de maîtriser ses dépenses et de libérer son potentiel de croissance. Le Scénario 1, bien que difficile, est le seul qui concilie réalisme budgétaire, soutenabilité sociale et vision stratégique. C’est le programme que tout gouvernement responsable devrait adopter dès 2027.</w:t>
      </w:r>
    </w:p>
    <w:p w14:paraId="2745E993" w14:textId="77777777" w:rsidR="003A416F" w:rsidRPr="003A416F" w:rsidRDefault="001E7C39" w:rsidP="003A416F">
      <w:pPr>
        <w:spacing w:before="480" w:after="480" w:line="240" w:lineRule="auto"/>
        <w:rPr>
          <w:rFonts w:ascii="Segoe UI" w:eastAsia="Times New Roman" w:hAnsi="Segoe UI" w:cs="Segoe UI"/>
          <w:kern w:val="0"/>
          <w:lang w:eastAsia="fr-FR"/>
          <w14:ligatures w14:val="none"/>
        </w:rPr>
      </w:pPr>
      <w:r w:rsidRPr="001E7C39">
        <w:rPr>
          <w:rFonts w:ascii="Times New Roman" w:eastAsia="Times New Roman" w:hAnsi="Times New Roman" w:cs="Times New Roman"/>
          <w:noProof/>
          <w:kern w:val="0"/>
          <w:lang w:eastAsia="fr-FR"/>
        </w:rPr>
        <w:pict w14:anchorId="753A99DD">
          <v:rect id="_x0000_i1033" style="width:0;height:.75pt" o:hralign="center" o:hrstd="t" o:hr="t" fillcolor="#a0a0a0" stroked="f"/>
        </w:pict>
      </w:r>
    </w:p>
    <w:p w14:paraId="401E8066" w14:textId="77777777" w:rsidR="003A416F" w:rsidRPr="003A416F" w:rsidRDefault="003A416F" w:rsidP="003A416F">
      <w:pPr>
        <w:shd w:val="clear" w:color="auto" w:fill="FFFFFF"/>
        <w:spacing w:before="240" w:after="240" w:line="240" w:lineRule="auto"/>
        <w:rPr>
          <w:rFonts w:ascii="Segoe UI" w:eastAsia="Times New Roman" w:hAnsi="Segoe UI" w:cs="Segoe UI"/>
          <w:color w:val="0F1115"/>
          <w:kern w:val="0"/>
          <w:lang w:eastAsia="fr-FR"/>
          <w14:ligatures w14:val="none"/>
        </w:rPr>
      </w:pPr>
      <w:r w:rsidRPr="003A416F">
        <w:rPr>
          <w:rFonts w:ascii="Segoe UI" w:eastAsia="Times New Roman" w:hAnsi="Segoe UI" w:cs="Segoe UI"/>
          <w:b/>
          <w:bCs/>
          <w:color w:val="0F1115"/>
          <w:kern w:val="0"/>
          <w:lang w:eastAsia="fr-FR"/>
          <w14:ligatures w14:val="none"/>
        </w:rPr>
        <w:t>Fin du rapport.</w:t>
      </w:r>
      <w:r w:rsidRPr="003A416F">
        <w:rPr>
          <w:rFonts w:ascii="Segoe UI" w:eastAsia="Times New Roman" w:hAnsi="Segoe UI" w:cs="Segoe UI"/>
          <w:color w:val="0F1115"/>
          <w:kern w:val="0"/>
          <w:lang w:eastAsia="fr-FR"/>
          <w14:ligatures w14:val="none"/>
        </w:rPr>
        <w:br/>
      </w:r>
      <w:r w:rsidRPr="003A416F">
        <w:rPr>
          <w:rFonts w:ascii="Segoe UI" w:eastAsia="Times New Roman" w:hAnsi="Segoe UI" w:cs="Segoe UI"/>
          <w:i/>
          <w:iCs/>
          <w:color w:val="0F1115"/>
          <w:kern w:val="0"/>
          <w:lang w:eastAsia="fr-FR"/>
          <w14:ligatures w14:val="none"/>
        </w:rPr>
        <w:t>Ce document est destiné à alimenter le débat public et à servir de base de travail pour les décideurs économiques et politiques.</w:t>
      </w:r>
    </w:p>
    <w:p w14:paraId="4D33890A" w14:textId="77777777" w:rsidR="003F72FF" w:rsidRDefault="003F72FF"/>
    <w:sectPr w:rsidR="003F72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83F1B"/>
    <w:multiLevelType w:val="multilevel"/>
    <w:tmpl w:val="558C7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13B65"/>
    <w:multiLevelType w:val="multilevel"/>
    <w:tmpl w:val="A6045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97CE0"/>
    <w:multiLevelType w:val="multilevel"/>
    <w:tmpl w:val="D8886F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FA4E9A"/>
    <w:multiLevelType w:val="multilevel"/>
    <w:tmpl w:val="65586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D20D1"/>
    <w:multiLevelType w:val="multilevel"/>
    <w:tmpl w:val="3556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57B4D"/>
    <w:multiLevelType w:val="multilevel"/>
    <w:tmpl w:val="206AD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F00D46"/>
    <w:multiLevelType w:val="multilevel"/>
    <w:tmpl w:val="BA1A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D393C"/>
    <w:multiLevelType w:val="multilevel"/>
    <w:tmpl w:val="F4A0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190DD6"/>
    <w:multiLevelType w:val="multilevel"/>
    <w:tmpl w:val="FA8A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0D7B70"/>
    <w:multiLevelType w:val="multilevel"/>
    <w:tmpl w:val="8BBC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827880"/>
    <w:multiLevelType w:val="multilevel"/>
    <w:tmpl w:val="3148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371BA"/>
    <w:multiLevelType w:val="multilevel"/>
    <w:tmpl w:val="9A121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A802B9"/>
    <w:multiLevelType w:val="multilevel"/>
    <w:tmpl w:val="1E8C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5880923">
    <w:abstractNumId w:val="2"/>
  </w:num>
  <w:num w:numId="2" w16cid:durableId="1871723270">
    <w:abstractNumId w:val="1"/>
  </w:num>
  <w:num w:numId="3" w16cid:durableId="1273854312">
    <w:abstractNumId w:val="6"/>
  </w:num>
  <w:num w:numId="4" w16cid:durableId="2121291081">
    <w:abstractNumId w:val="8"/>
  </w:num>
  <w:num w:numId="5" w16cid:durableId="823820021">
    <w:abstractNumId w:val="11"/>
  </w:num>
  <w:num w:numId="6" w16cid:durableId="349526672">
    <w:abstractNumId w:val="9"/>
  </w:num>
  <w:num w:numId="7" w16cid:durableId="762264423">
    <w:abstractNumId w:val="5"/>
  </w:num>
  <w:num w:numId="8" w16cid:durableId="659506113">
    <w:abstractNumId w:val="4"/>
  </w:num>
  <w:num w:numId="9" w16cid:durableId="1272401644">
    <w:abstractNumId w:val="3"/>
  </w:num>
  <w:num w:numId="10" w16cid:durableId="1852911583">
    <w:abstractNumId w:val="12"/>
  </w:num>
  <w:num w:numId="11" w16cid:durableId="490558033">
    <w:abstractNumId w:val="10"/>
  </w:num>
  <w:num w:numId="12" w16cid:durableId="1246841343">
    <w:abstractNumId w:val="7"/>
  </w:num>
  <w:num w:numId="13" w16cid:durableId="18875246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6F"/>
    <w:rsid w:val="001E7C39"/>
    <w:rsid w:val="003A416F"/>
    <w:rsid w:val="003F72FF"/>
    <w:rsid w:val="00976584"/>
    <w:rsid w:val="00B9456C"/>
    <w:rsid w:val="00C135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CEF78"/>
  <w15:chartTrackingRefBased/>
  <w15:docId w15:val="{6F1BDD8D-E8C4-4A4B-9725-49EB1E98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A4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A4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A416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A416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A416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A416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A416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A416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A416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416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A416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A416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A416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A416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A416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A416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A416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A416F"/>
    <w:rPr>
      <w:rFonts w:eastAsiaTheme="majorEastAsia" w:cstheme="majorBidi"/>
      <w:color w:val="272727" w:themeColor="text1" w:themeTint="D8"/>
    </w:rPr>
  </w:style>
  <w:style w:type="paragraph" w:styleId="Titre">
    <w:name w:val="Title"/>
    <w:basedOn w:val="Normal"/>
    <w:next w:val="Normal"/>
    <w:link w:val="TitreCar"/>
    <w:uiPriority w:val="10"/>
    <w:qFormat/>
    <w:rsid w:val="003A4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A416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A416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A416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A416F"/>
    <w:pPr>
      <w:spacing w:before="160"/>
      <w:jc w:val="center"/>
    </w:pPr>
    <w:rPr>
      <w:i/>
      <w:iCs/>
      <w:color w:val="404040" w:themeColor="text1" w:themeTint="BF"/>
    </w:rPr>
  </w:style>
  <w:style w:type="character" w:customStyle="1" w:styleId="CitationCar">
    <w:name w:val="Citation Car"/>
    <w:basedOn w:val="Policepardfaut"/>
    <w:link w:val="Citation"/>
    <w:uiPriority w:val="29"/>
    <w:rsid w:val="003A416F"/>
    <w:rPr>
      <w:i/>
      <w:iCs/>
      <w:color w:val="404040" w:themeColor="text1" w:themeTint="BF"/>
    </w:rPr>
  </w:style>
  <w:style w:type="paragraph" w:styleId="Paragraphedeliste">
    <w:name w:val="List Paragraph"/>
    <w:basedOn w:val="Normal"/>
    <w:uiPriority w:val="34"/>
    <w:qFormat/>
    <w:rsid w:val="003A416F"/>
    <w:pPr>
      <w:ind w:left="720"/>
      <w:contextualSpacing/>
    </w:pPr>
  </w:style>
  <w:style w:type="character" w:styleId="Accentuationintense">
    <w:name w:val="Intense Emphasis"/>
    <w:basedOn w:val="Policepardfaut"/>
    <w:uiPriority w:val="21"/>
    <w:qFormat/>
    <w:rsid w:val="003A416F"/>
    <w:rPr>
      <w:i/>
      <w:iCs/>
      <w:color w:val="0F4761" w:themeColor="accent1" w:themeShade="BF"/>
    </w:rPr>
  </w:style>
  <w:style w:type="paragraph" w:styleId="Citationintense">
    <w:name w:val="Intense Quote"/>
    <w:basedOn w:val="Normal"/>
    <w:next w:val="Normal"/>
    <w:link w:val="CitationintenseCar"/>
    <w:uiPriority w:val="30"/>
    <w:qFormat/>
    <w:rsid w:val="003A4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A416F"/>
    <w:rPr>
      <w:i/>
      <w:iCs/>
      <w:color w:val="0F4761" w:themeColor="accent1" w:themeShade="BF"/>
    </w:rPr>
  </w:style>
  <w:style w:type="character" w:styleId="Rfrenceintense">
    <w:name w:val="Intense Reference"/>
    <w:basedOn w:val="Policepardfaut"/>
    <w:uiPriority w:val="32"/>
    <w:qFormat/>
    <w:rsid w:val="003A416F"/>
    <w:rPr>
      <w:b/>
      <w:bCs/>
      <w:smallCaps/>
      <w:color w:val="0F4761" w:themeColor="accent1" w:themeShade="BF"/>
      <w:spacing w:val="5"/>
    </w:rPr>
  </w:style>
  <w:style w:type="paragraph" w:customStyle="1" w:styleId="ds-markdown-paragraph">
    <w:name w:val="ds-markdown-paragraph"/>
    <w:basedOn w:val="Normal"/>
    <w:rsid w:val="003A416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3A416F"/>
    <w:rPr>
      <w:b/>
      <w:bCs/>
    </w:rPr>
  </w:style>
  <w:style w:type="character" w:styleId="Accentuation">
    <w:name w:val="Emphasis"/>
    <w:basedOn w:val="Policepardfaut"/>
    <w:uiPriority w:val="20"/>
    <w:qFormat/>
    <w:rsid w:val="003A41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2159</Words>
  <Characters>11188</Characters>
  <Application>Microsoft Office Word</Application>
  <DocSecurity>0</DocSecurity>
  <Lines>559</Lines>
  <Paragraphs>476</Paragraphs>
  <ScaleCrop>false</ScaleCrop>
  <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Dayon</dc:creator>
  <cp:keywords/>
  <dc:description/>
  <cp:lastModifiedBy>Gregory Dayon</cp:lastModifiedBy>
  <cp:revision>1</cp:revision>
  <dcterms:created xsi:type="dcterms:W3CDTF">2026-08-24T06:24:00Z</dcterms:created>
  <dcterms:modified xsi:type="dcterms:W3CDTF">2026-08-24T06:24:00Z</dcterms:modified>
</cp:coreProperties>
</file>